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95250" w14:textId="5897EF8B" w:rsidR="000F005A" w:rsidRDefault="00167F84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 w:rsidRPr="00167F84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GB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/</w:t>
      </w:r>
      <w:r w:rsidRPr="00167F84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T 3836.39《爆炸性环境 第39部分：阻火器</w:t>
      </w:r>
      <w:r w:rsidR="007F51B2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</w:t>
      </w:r>
      <w:r w:rsidRPr="00167F84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性能要求、试验方法和使用限制》</w:t>
      </w:r>
      <w:r w:rsidR="006C1CD8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（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征求意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见</w:t>
      </w:r>
      <w:r w:rsidR="006C1CD8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稿</w:t>
      </w:r>
      <w:r w:rsidR="006C1CD8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）编制说明</w:t>
      </w:r>
    </w:p>
    <w:p w14:paraId="03A6E6C4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一、工作简况</w:t>
      </w:r>
    </w:p>
    <w:p w14:paraId="34D8A828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 w:cs="宋体"/>
          <w:b/>
          <w:kern w:val="0"/>
          <w:szCs w:val="21"/>
        </w:rPr>
      </w:pPr>
      <w:r w:rsidRPr="007F51B2">
        <w:rPr>
          <w:rFonts w:ascii="宋体" w:hAnsi="宋体" w:cs="宋体" w:hint="eastAsia"/>
          <w:b/>
          <w:kern w:val="0"/>
          <w:szCs w:val="21"/>
        </w:rPr>
        <w:t>1．任务来源</w:t>
      </w:r>
    </w:p>
    <w:p w14:paraId="49FA9B34" w14:textId="4A2F6F36" w:rsidR="000F005A" w:rsidRPr="007F51B2" w:rsidRDefault="006C1CD8" w:rsidP="00944DC1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根据全国防爆电气设备标准化技术委员会标准制修订</w:t>
      </w:r>
      <w:r w:rsidR="00916E11" w:rsidRPr="007F51B2">
        <w:rPr>
          <w:rFonts w:ascii="宋体" w:hAnsi="宋体" w:hint="eastAsia"/>
          <w:szCs w:val="21"/>
        </w:rPr>
        <w:t>工作</w:t>
      </w:r>
      <w:r w:rsidRPr="007F51B2">
        <w:rPr>
          <w:rFonts w:ascii="宋体" w:hAnsi="宋体" w:hint="eastAsia"/>
          <w:szCs w:val="21"/>
        </w:rPr>
        <w:t>计划，秘书处于20</w:t>
      </w:r>
      <w:r w:rsidRPr="007F51B2">
        <w:rPr>
          <w:rFonts w:ascii="宋体" w:hAnsi="宋体"/>
          <w:szCs w:val="21"/>
        </w:rPr>
        <w:t>2</w:t>
      </w:r>
      <w:r w:rsidR="00916E11" w:rsidRPr="007F51B2">
        <w:rPr>
          <w:rFonts w:ascii="宋体" w:hAnsi="宋体"/>
          <w:szCs w:val="21"/>
        </w:rPr>
        <w:t>5</w:t>
      </w:r>
      <w:r w:rsidRPr="007F51B2">
        <w:rPr>
          <w:rFonts w:ascii="宋体" w:hAnsi="宋体" w:hint="eastAsia"/>
          <w:szCs w:val="21"/>
        </w:rPr>
        <w:t>年向</w:t>
      </w:r>
      <w:r w:rsidR="00916E11" w:rsidRPr="007F51B2">
        <w:rPr>
          <w:rFonts w:ascii="宋体" w:hAnsi="宋体" w:hint="eastAsia"/>
          <w:szCs w:val="21"/>
        </w:rPr>
        <w:t>中国电器工业协会</w:t>
      </w:r>
      <w:r w:rsidRPr="007F51B2">
        <w:rPr>
          <w:rFonts w:ascii="宋体" w:hAnsi="宋体" w:hint="eastAsia"/>
          <w:szCs w:val="21"/>
        </w:rPr>
        <w:t>上报</w:t>
      </w:r>
      <w:r w:rsidR="00916E11" w:rsidRPr="007F51B2">
        <w:rPr>
          <w:rFonts w:ascii="宋体" w:hAnsi="宋体" w:hint="eastAsia"/>
          <w:szCs w:val="21"/>
        </w:rPr>
        <w:t>GB</w:t>
      </w:r>
      <w:r w:rsidR="00916E11" w:rsidRPr="007F51B2">
        <w:rPr>
          <w:rFonts w:ascii="宋体" w:hAnsi="宋体"/>
          <w:szCs w:val="21"/>
        </w:rPr>
        <w:t>/</w:t>
      </w:r>
      <w:r w:rsidR="00916E11" w:rsidRPr="007F51B2">
        <w:rPr>
          <w:rFonts w:ascii="宋体" w:hAnsi="宋体" w:hint="eastAsia"/>
          <w:szCs w:val="21"/>
        </w:rPr>
        <w:t>T 3836.39</w:t>
      </w:r>
      <w:r w:rsidRPr="007F51B2">
        <w:rPr>
          <w:rFonts w:ascii="宋体" w:hAnsi="宋体" w:hint="eastAsia"/>
          <w:szCs w:val="21"/>
        </w:rPr>
        <w:t>《</w:t>
      </w:r>
      <w:r w:rsidR="00916E11" w:rsidRPr="007F51B2">
        <w:rPr>
          <w:rFonts w:ascii="宋体" w:hAnsi="宋体" w:hint="eastAsia"/>
          <w:szCs w:val="21"/>
        </w:rPr>
        <w:t>爆炸性环境 第39部分：阻火器</w:t>
      </w:r>
      <w:r w:rsidR="007F51B2" w:rsidRPr="007F51B2">
        <w:rPr>
          <w:rFonts w:ascii="宋体" w:hAnsi="宋体"/>
          <w:szCs w:val="21"/>
        </w:rPr>
        <w:t xml:space="preserve"> </w:t>
      </w:r>
      <w:r w:rsidR="00916E11" w:rsidRPr="007F51B2">
        <w:rPr>
          <w:rFonts w:ascii="宋体" w:hAnsi="宋体" w:hint="eastAsia"/>
          <w:szCs w:val="21"/>
        </w:rPr>
        <w:t>性能要求、试验方法和使用限制</w:t>
      </w:r>
      <w:r w:rsidRPr="007F51B2">
        <w:rPr>
          <w:rFonts w:ascii="宋体" w:hAnsi="宋体" w:hint="eastAsia"/>
          <w:szCs w:val="21"/>
        </w:rPr>
        <w:t>》</w:t>
      </w:r>
      <w:r w:rsidR="00916E11" w:rsidRPr="007F51B2">
        <w:rPr>
          <w:rFonts w:ascii="宋体" w:hAnsi="宋体" w:hint="eastAsia"/>
          <w:szCs w:val="21"/>
        </w:rPr>
        <w:t>推荐性</w:t>
      </w:r>
      <w:r w:rsidRPr="007F51B2">
        <w:rPr>
          <w:rFonts w:ascii="宋体" w:hAnsi="宋体"/>
          <w:szCs w:val="21"/>
        </w:rPr>
        <w:t>国家</w:t>
      </w:r>
      <w:r w:rsidRPr="007F51B2">
        <w:rPr>
          <w:rFonts w:ascii="宋体" w:hAnsi="宋体" w:hint="eastAsia"/>
          <w:szCs w:val="21"/>
        </w:rPr>
        <w:t>标准</w:t>
      </w:r>
      <w:r w:rsidR="00916E11" w:rsidRPr="007F51B2">
        <w:rPr>
          <w:rFonts w:ascii="宋体" w:hAnsi="宋体"/>
          <w:szCs w:val="21"/>
        </w:rPr>
        <w:t>制定计划项目</w:t>
      </w:r>
      <w:r w:rsidR="00944DC1" w:rsidRPr="007F51B2">
        <w:rPr>
          <w:rFonts w:ascii="宋体" w:hAnsi="宋体"/>
          <w:szCs w:val="21"/>
        </w:rPr>
        <w:t>，该</w:t>
      </w:r>
      <w:r w:rsidR="00944DC1" w:rsidRPr="007F51B2">
        <w:rPr>
          <w:rFonts w:ascii="宋体" w:hAnsi="宋体" w:hint="eastAsia"/>
          <w:szCs w:val="21"/>
        </w:rPr>
        <w:t>项目</w:t>
      </w:r>
      <w:r w:rsidR="00944DC1" w:rsidRPr="007F51B2">
        <w:rPr>
          <w:rFonts w:ascii="宋体" w:hAnsi="宋体"/>
          <w:szCs w:val="21"/>
        </w:rPr>
        <w:t>经国家标准化管理委员会批准</w:t>
      </w:r>
      <w:r w:rsidR="00944DC1">
        <w:rPr>
          <w:rFonts w:ascii="宋体" w:hAnsi="宋体" w:hint="eastAsia"/>
          <w:szCs w:val="21"/>
        </w:rPr>
        <w:t>立项</w:t>
      </w:r>
      <w:r w:rsidR="00944DC1" w:rsidRPr="007F51B2">
        <w:rPr>
          <w:rFonts w:ascii="宋体" w:hAnsi="宋体"/>
          <w:szCs w:val="21"/>
        </w:rPr>
        <w:t>，</w:t>
      </w:r>
      <w:r w:rsidR="00944DC1">
        <w:rPr>
          <w:rFonts w:ascii="宋体" w:hAnsi="宋体" w:hint="eastAsia"/>
          <w:szCs w:val="21"/>
        </w:rPr>
        <w:t>《</w:t>
      </w:r>
      <w:r w:rsidR="00944DC1" w:rsidRPr="00944DC1">
        <w:rPr>
          <w:rFonts w:ascii="宋体" w:hAnsi="宋体" w:cs="宋体"/>
          <w:kern w:val="0"/>
          <w:szCs w:val="21"/>
        </w:rPr>
        <w:t>国家标准委关于下达2026年第一批推荐性国家标准计划及相关标准外文版计划的通知</w:t>
      </w:r>
      <w:r w:rsidR="00944DC1">
        <w:rPr>
          <w:rFonts w:ascii="宋体" w:hAnsi="宋体" w:hint="eastAsia"/>
          <w:szCs w:val="21"/>
        </w:rPr>
        <w:t>》（</w:t>
      </w:r>
      <w:r w:rsidR="00944DC1" w:rsidRPr="00944DC1">
        <w:rPr>
          <w:rFonts w:ascii="宋体" w:hAnsi="宋体" w:hint="eastAsia"/>
          <w:szCs w:val="21"/>
        </w:rPr>
        <w:t>国标委发〔2026〕10号</w:t>
      </w:r>
      <w:r w:rsidR="00944DC1">
        <w:rPr>
          <w:rFonts w:ascii="宋体" w:hAnsi="宋体" w:hint="eastAsia"/>
          <w:szCs w:val="21"/>
        </w:rPr>
        <w:t>）中</w:t>
      </w:r>
      <w:r w:rsidR="00944DC1" w:rsidRPr="007F51B2">
        <w:rPr>
          <w:rFonts w:ascii="宋体" w:hAnsi="宋体"/>
          <w:szCs w:val="21"/>
        </w:rPr>
        <w:t>计划号为：</w:t>
      </w:r>
      <w:r w:rsidR="00916E11" w:rsidRPr="007F51B2">
        <w:rPr>
          <w:rFonts w:ascii="宋体" w:hAnsi="宋体"/>
          <w:szCs w:val="21"/>
        </w:rPr>
        <w:t>20260205-T-604</w:t>
      </w:r>
      <w:r w:rsidRPr="007F51B2">
        <w:rPr>
          <w:rFonts w:ascii="宋体" w:hAnsi="宋体"/>
          <w:szCs w:val="21"/>
        </w:rPr>
        <w:t>。</w:t>
      </w:r>
    </w:p>
    <w:p w14:paraId="614E4024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 w:cs="宋体"/>
          <w:b/>
          <w:kern w:val="0"/>
          <w:szCs w:val="21"/>
        </w:rPr>
      </w:pPr>
      <w:r w:rsidRPr="007F51B2">
        <w:rPr>
          <w:rFonts w:ascii="宋体" w:hAnsi="宋体" w:cs="宋体"/>
          <w:b/>
          <w:kern w:val="0"/>
          <w:szCs w:val="21"/>
        </w:rPr>
        <w:t>2.</w:t>
      </w:r>
      <w:r w:rsidRPr="007F51B2">
        <w:rPr>
          <w:rFonts w:ascii="宋体" w:hAnsi="宋体" w:cs="宋体" w:hint="eastAsia"/>
          <w:b/>
          <w:kern w:val="0"/>
          <w:szCs w:val="21"/>
        </w:rPr>
        <w:t>起草单位和起草人员</w:t>
      </w:r>
    </w:p>
    <w:p w14:paraId="086FA119" w14:textId="0EB31115" w:rsidR="00422EBE" w:rsidRPr="002B7B67" w:rsidRDefault="00422EBE" w:rsidP="00422EBE">
      <w:pPr>
        <w:spacing w:line="276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2B7B67">
        <w:rPr>
          <w:rFonts w:ascii="宋体" w:hAnsi="宋体" w:cs="宋体" w:hint="eastAsia"/>
          <w:kern w:val="0"/>
          <w:szCs w:val="21"/>
        </w:rPr>
        <w:t>本标准起草单位：</w:t>
      </w:r>
      <w:r w:rsidR="00CB3B9A" w:rsidRPr="002B7B67">
        <w:rPr>
          <w:rFonts w:ascii="宋体" w:hAnsi="宋体" w:cs="宋体" w:hint="eastAsia"/>
          <w:kern w:val="0"/>
          <w:szCs w:val="21"/>
        </w:rPr>
        <w:t>南阳防爆电气科学研究院股份有限公司、中国石化工程建设有限公司、江苏八方安全设备有限公司、衡阳合力工业车辆有限公司、稳恩佳力佳（北京）石油化工设备有限公司、上海仪器仪表自控系统检验测试所有限公司、中煤科工集团重庆研究院有限公司、广电计量检测集团股份有限公司、正星科技股份有限公司、佳力防爆车辆制造（山东）有限公司、苏州瑞来特思机械设备有限公司、肯赛思防爆技术(苏州)有限公司、南京普瑞泰格安全设备工程有限公司</w:t>
      </w:r>
      <w:r w:rsidRPr="002B7B67">
        <w:rPr>
          <w:rFonts w:ascii="宋体" w:hAnsi="宋体" w:cs="宋体" w:hint="eastAsia"/>
          <w:kern w:val="0"/>
          <w:szCs w:val="21"/>
        </w:rPr>
        <w:t>。</w:t>
      </w:r>
    </w:p>
    <w:p w14:paraId="3D840463" w14:textId="6ED2DA9C" w:rsidR="00422EBE" w:rsidRPr="002B7B67" w:rsidRDefault="00422EBE" w:rsidP="00422EBE">
      <w:pPr>
        <w:spacing w:line="276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2B7B67">
        <w:rPr>
          <w:rFonts w:ascii="宋体" w:hAnsi="宋体" w:cs="宋体" w:hint="eastAsia"/>
          <w:kern w:val="0"/>
          <w:szCs w:val="21"/>
        </w:rPr>
        <w:t>本标准主要起草人：</w:t>
      </w:r>
      <w:r w:rsidR="00CB3B9A" w:rsidRPr="002B7B67">
        <w:rPr>
          <w:rFonts w:ascii="宋体" w:hAnsi="宋体" w:cs="宋体" w:hint="eastAsia"/>
          <w:kern w:val="0"/>
          <w:szCs w:val="21"/>
        </w:rPr>
        <w:t>王巧立、于国鹏、刘利利、赵亮智、王新建、钱松、张志刚、杨宇、马辉、张兴彬、李浩军、张昌勇、张刚、赵拓、刘中阳、张岩、杨静</w:t>
      </w:r>
      <w:r w:rsidRPr="002B7B67">
        <w:rPr>
          <w:rFonts w:ascii="宋体" w:hAnsi="宋体" w:cs="宋体" w:hint="eastAsia"/>
          <w:kern w:val="0"/>
          <w:szCs w:val="21"/>
        </w:rPr>
        <w:t>。</w:t>
      </w:r>
    </w:p>
    <w:p w14:paraId="11FF276A" w14:textId="3521F1D5" w:rsidR="00422EBE" w:rsidRPr="002B7B67" w:rsidRDefault="00422EBE" w:rsidP="002B7B67">
      <w:pPr>
        <w:spacing w:line="276" w:lineRule="auto"/>
        <w:ind w:firstLineChars="200" w:firstLine="420"/>
        <w:rPr>
          <w:rFonts w:ascii="宋体" w:hAnsi="宋体" w:cs="宋体"/>
          <w:kern w:val="0"/>
          <w:szCs w:val="21"/>
        </w:rPr>
      </w:pPr>
      <w:r w:rsidRPr="002B7B67">
        <w:rPr>
          <w:rFonts w:ascii="宋体" w:hAnsi="宋体" w:cs="宋体" w:hint="eastAsia"/>
          <w:kern w:val="0"/>
          <w:szCs w:val="21"/>
        </w:rPr>
        <w:t>所做工作：</w:t>
      </w:r>
      <w:r w:rsidR="00CB3B9A" w:rsidRPr="002B7B67">
        <w:rPr>
          <w:rFonts w:ascii="宋体" w:hAnsi="宋体" w:cs="宋体" w:hint="eastAsia"/>
          <w:kern w:val="0"/>
          <w:szCs w:val="21"/>
        </w:rPr>
        <w:t>王巧立全面统筹标准起草和技术协调工作，于国鹏、刘利利负责标准技术方案、框架制定，并负责各阶段对审核；赵亮智、王新建、钱松、张志刚、杨宇、马辉、张兴彬、李浩军、张昌勇、张刚、赵拓、刘中阳负责标准具体内容编写；张岩、杨静负责收集分析国内外相关技资料、汇总、编辑整理</w:t>
      </w:r>
      <w:r w:rsidRPr="002B7B67">
        <w:rPr>
          <w:rFonts w:ascii="宋体" w:hAnsi="宋体" w:cs="宋体" w:hint="eastAsia"/>
          <w:kern w:val="0"/>
          <w:szCs w:val="21"/>
        </w:rPr>
        <w:t>。</w:t>
      </w:r>
    </w:p>
    <w:p w14:paraId="0A0E9C27" w14:textId="3BB89091" w:rsidR="000F005A" w:rsidRPr="007F51B2" w:rsidRDefault="00422EBE" w:rsidP="00422EBE">
      <w:pPr>
        <w:spacing w:beforeLines="50" w:before="156" w:afterLines="50" w:after="156" w:line="276" w:lineRule="auto"/>
        <w:rPr>
          <w:rFonts w:ascii="宋体" w:hAnsi="宋体" w:cs="宋体"/>
          <w:b/>
          <w:kern w:val="0"/>
          <w:szCs w:val="21"/>
        </w:rPr>
      </w:pPr>
      <w:r>
        <w:rPr>
          <w:rFonts w:ascii="宋体" w:hAnsi="宋体" w:cs="宋体"/>
          <w:b/>
          <w:kern w:val="0"/>
          <w:szCs w:val="21"/>
        </w:rPr>
        <w:t>3</w:t>
      </w:r>
      <w:r w:rsidR="006C1CD8" w:rsidRPr="007F51B2">
        <w:rPr>
          <w:rFonts w:ascii="宋体" w:hAnsi="宋体" w:cs="宋体" w:hint="eastAsia"/>
          <w:b/>
          <w:kern w:val="0"/>
          <w:szCs w:val="21"/>
        </w:rPr>
        <w:t>．制定背景</w:t>
      </w:r>
    </w:p>
    <w:p w14:paraId="5D4D8D8A" w14:textId="77777777" w:rsidR="00916E11" w:rsidRPr="007F51B2" w:rsidRDefault="00916E11" w:rsidP="007F51B2">
      <w:pPr>
        <w:spacing w:line="276" w:lineRule="auto"/>
        <w:ind w:firstLineChars="200" w:firstLine="420"/>
        <w:rPr>
          <w:rFonts w:ascii="宋体" w:hAnsi="宋体" w:cs="宋体"/>
          <w:kern w:val="0"/>
          <w:szCs w:val="21"/>
          <w:lang w:val="zh-CN"/>
        </w:rPr>
      </w:pPr>
      <w:r w:rsidRPr="007F51B2">
        <w:rPr>
          <w:rFonts w:ascii="宋体" w:hAnsi="宋体" w:cs="宋体" w:hint="eastAsia"/>
          <w:kern w:val="0"/>
          <w:szCs w:val="21"/>
          <w:lang w:val="zh-CN"/>
        </w:rPr>
        <w:t>阻火器是一种安全防护装置，通常安装在设备壳体或管道上的，允许介质流动，但在可燃性混合物被点燃时能阻止火焰传播，从而对管网和设备起到保护作用，在石化等行业中得到了广泛的应用。IEC于2024年在ISO 16852：2016《阻火器性能要求、试验方法和使用限制》的基础上，制定了ISO/IEC 80079-49：2024《爆炸性环境 第49部分：阻火器 性能要求、试验方法和使用限制》，该标准建立了阻火器分类、基本结构和使用信息的统一原则，并规定了验证安全要求和确定安全使用限值的试验方法。为适应防爆设备产业和技术发展，满足存在爆炸危险场所的相关行业领域应用需要，并与国际先进标准一致，拟采用ISO/IEC 80079-49：2024制定国家标准。</w:t>
      </w:r>
    </w:p>
    <w:p w14:paraId="473CBD83" w14:textId="033BDBCD" w:rsidR="000F005A" w:rsidRPr="007F51B2" w:rsidRDefault="00916E11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kern w:val="0"/>
          <w:szCs w:val="21"/>
          <w:lang w:val="zh-CN"/>
        </w:rPr>
        <w:t>本标准制定后，将使我国阻火器标准与国际最新同类标准主要技术内容上保持一致，补充现有防爆标准系列，为阻火器的生产、检验、使用提供技术支撑，保障存在此类危险的行业领域安全运行</w:t>
      </w:r>
      <w:r w:rsidR="006C1CD8" w:rsidRPr="007F51B2">
        <w:rPr>
          <w:rFonts w:ascii="宋体" w:hAnsi="宋体"/>
          <w:szCs w:val="21"/>
        </w:rPr>
        <w:t>。</w:t>
      </w:r>
    </w:p>
    <w:p w14:paraId="2A7687F2" w14:textId="3B942A88" w:rsidR="000F005A" w:rsidRPr="007F51B2" w:rsidRDefault="00422EBE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>
        <w:rPr>
          <w:rFonts w:ascii="宋体" w:hAnsi="宋体"/>
          <w:b/>
          <w:bCs/>
          <w:kern w:val="0"/>
          <w:szCs w:val="21"/>
        </w:rPr>
        <w:lastRenderedPageBreak/>
        <w:t>4</w:t>
      </w:r>
      <w:r w:rsidR="006C1CD8" w:rsidRPr="007F51B2">
        <w:rPr>
          <w:rFonts w:ascii="宋体" w:hAnsi="宋体" w:hint="eastAsia"/>
          <w:b/>
          <w:bCs/>
          <w:kern w:val="0"/>
          <w:szCs w:val="21"/>
        </w:rPr>
        <w:t>．主要工作过程</w:t>
      </w:r>
    </w:p>
    <w:p w14:paraId="385AEA71" w14:textId="14A38098" w:rsidR="00930023" w:rsidRPr="007F51B2" w:rsidRDefault="00354429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/>
          <w:szCs w:val="21"/>
        </w:rPr>
        <w:t>2025年</w:t>
      </w:r>
      <w:r w:rsidRPr="007F51B2">
        <w:rPr>
          <w:rFonts w:ascii="宋体" w:hAnsi="宋体" w:hint="eastAsia"/>
          <w:szCs w:val="21"/>
        </w:rPr>
        <w:t>1</w:t>
      </w:r>
      <w:r w:rsidRPr="007F51B2">
        <w:rPr>
          <w:rFonts w:ascii="宋体" w:hAnsi="宋体"/>
          <w:szCs w:val="21"/>
        </w:rPr>
        <w:t>2月6日</w:t>
      </w:r>
      <w:r w:rsidRPr="007F51B2">
        <w:rPr>
          <w:rFonts w:ascii="宋体" w:hAnsi="宋体" w:hint="eastAsia"/>
          <w:szCs w:val="21"/>
        </w:rPr>
        <w:t>，</w:t>
      </w:r>
      <w:r w:rsidR="00930023" w:rsidRPr="007F51B2">
        <w:rPr>
          <w:rFonts w:ascii="宋体" w:hAnsi="宋体" w:hint="eastAsia"/>
          <w:szCs w:val="21"/>
        </w:rPr>
        <w:t>全国防爆电气设备标准化技术委员会</w:t>
      </w:r>
      <w:r w:rsidR="00930023" w:rsidRPr="007F51B2">
        <w:rPr>
          <w:rFonts w:ascii="宋体" w:hAnsi="宋体"/>
          <w:szCs w:val="21"/>
        </w:rPr>
        <w:t>在</w:t>
      </w:r>
      <w:r w:rsidR="00930023" w:rsidRPr="007F51B2">
        <w:rPr>
          <w:rFonts w:ascii="宋体" w:hAnsi="宋体" w:hint="eastAsia"/>
          <w:szCs w:val="21"/>
        </w:rPr>
        <w:t>北京</w:t>
      </w:r>
      <w:r w:rsidR="00930023" w:rsidRPr="007F51B2">
        <w:rPr>
          <w:rFonts w:ascii="宋体" w:hAnsi="宋体"/>
          <w:szCs w:val="21"/>
        </w:rPr>
        <w:t>召开2025年</w:t>
      </w:r>
      <w:r w:rsidR="00930023" w:rsidRPr="007F51B2">
        <w:rPr>
          <w:rFonts w:ascii="宋体" w:hAnsi="宋体" w:hint="eastAsia"/>
          <w:szCs w:val="21"/>
        </w:rPr>
        <w:t>年会，会上对已申报计划项目GB</w:t>
      </w:r>
      <w:r w:rsidR="00930023" w:rsidRPr="007F51B2">
        <w:rPr>
          <w:rFonts w:ascii="宋体" w:hAnsi="宋体"/>
          <w:szCs w:val="21"/>
        </w:rPr>
        <w:t>/</w:t>
      </w:r>
      <w:r w:rsidR="00930023" w:rsidRPr="007F51B2">
        <w:rPr>
          <w:rFonts w:ascii="宋体" w:hAnsi="宋体" w:hint="eastAsia"/>
          <w:szCs w:val="21"/>
        </w:rPr>
        <w:t>T 3836.39《爆炸性环境 第39部分：阻火器</w:t>
      </w:r>
      <w:r w:rsidR="00944DC1">
        <w:rPr>
          <w:rFonts w:ascii="宋体" w:hAnsi="宋体"/>
          <w:szCs w:val="21"/>
        </w:rPr>
        <w:t xml:space="preserve"> </w:t>
      </w:r>
      <w:r w:rsidR="00930023" w:rsidRPr="007F51B2">
        <w:rPr>
          <w:rFonts w:ascii="宋体" w:hAnsi="宋体" w:hint="eastAsia"/>
          <w:szCs w:val="21"/>
        </w:rPr>
        <w:t>性能要求、试验方法和使用限制》</w:t>
      </w:r>
      <w:r w:rsidR="00930023" w:rsidRPr="007F51B2">
        <w:rPr>
          <w:rFonts w:ascii="宋体" w:hAnsi="宋体"/>
          <w:szCs w:val="21"/>
        </w:rPr>
        <w:t>标准草案</w:t>
      </w:r>
      <w:r w:rsidR="00C54D6A">
        <w:rPr>
          <w:rFonts w:ascii="宋体" w:hAnsi="宋体" w:hint="eastAsia"/>
          <w:szCs w:val="21"/>
        </w:rPr>
        <w:t>的的章节结构、主要修订内容等</w:t>
      </w:r>
      <w:r w:rsidR="00930023" w:rsidRPr="007F51B2">
        <w:rPr>
          <w:rFonts w:ascii="宋体" w:hAnsi="宋体"/>
          <w:szCs w:val="21"/>
        </w:rPr>
        <w:t>进行了</w:t>
      </w:r>
      <w:r w:rsidR="00C54D6A">
        <w:rPr>
          <w:rFonts w:ascii="宋体" w:hAnsi="宋体" w:hint="eastAsia"/>
          <w:szCs w:val="21"/>
        </w:rPr>
        <w:t>初步</w:t>
      </w:r>
      <w:r w:rsidR="00930023" w:rsidRPr="007F51B2">
        <w:rPr>
          <w:rFonts w:ascii="宋体" w:hAnsi="宋体"/>
          <w:szCs w:val="21"/>
        </w:rPr>
        <w:t>研讨。</w:t>
      </w:r>
    </w:p>
    <w:p w14:paraId="26254228" w14:textId="1584AE29" w:rsidR="00256D7C" w:rsidRPr="007F51B2" w:rsidRDefault="00916E11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计划下达后，</w:t>
      </w:r>
      <w:r w:rsidRPr="007F51B2">
        <w:rPr>
          <w:rFonts w:ascii="宋体" w:hAnsi="宋体"/>
          <w:szCs w:val="21"/>
        </w:rPr>
        <w:t>为广泛吸</w:t>
      </w:r>
      <w:r w:rsidRPr="007F51B2">
        <w:rPr>
          <w:rFonts w:ascii="宋体" w:hAnsi="宋体" w:hint="eastAsia"/>
          <w:szCs w:val="21"/>
        </w:rPr>
        <w:t>纳防爆设备领域</w:t>
      </w:r>
      <w:r w:rsidRPr="007F51B2">
        <w:rPr>
          <w:rFonts w:ascii="宋体" w:hAnsi="宋体"/>
          <w:szCs w:val="21"/>
        </w:rPr>
        <w:t>各利益相关方参与，充分依托各方资源推进标准</w:t>
      </w:r>
      <w:r w:rsidRPr="007F51B2">
        <w:rPr>
          <w:rFonts w:ascii="宋体" w:hAnsi="宋体" w:hint="eastAsia"/>
          <w:szCs w:val="21"/>
        </w:rPr>
        <w:t>制</w:t>
      </w:r>
      <w:r w:rsidRPr="007F51B2">
        <w:rPr>
          <w:rFonts w:ascii="宋体" w:hAnsi="宋体"/>
          <w:szCs w:val="21"/>
        </w:rPr>
        <w:t>修订工作</w:t>
      </w:r>
      <w:r w:rsidRPr="007F51B2">
        <w:rPr>
          <w:rFonts w:ascii="宋体" w:hAnsi="宋体" w:hint="eastAsia"/>
          <w:szCs w:val="21"/>
        </w:rPr>
        <w:t>，</w:t>
      </w:r>
      <w:r w:rsidR="00C54D6A">
        <w:rPr>
          <w:rFonts w:ascii="宋体" w:hAnsi="宋体" w:hint="eastAsia"/>
          <w:szCs w:val="21"/>
        </w:rPr>
        <w:t>标委会</w:t>
      </w:r>
      <w:r w:rsidRPr="007F51B2">
        <w:rPr>
          <w:rFonts w:ascii="宋体" w:hAnsi="宋体" w:hint="eastAsia"/>
          <w:szCs w:val="21"/>
        </w:rPr>
        <w:t>秘书处</w:t>
      </w:r>
      <w:r w:rsidR="00930023" w:rsidRPr="007F51B2">
        <w:rPr>
          <w:rFonts w:ascii="宋体" w:hAnsi="宋体" w:hint="eastAsia"/>
          <w:szCs w:val="21"/>
        </w:rPr>
        <w:t>在经过公开</w:t>
      </w:r>
      <w:r w:rsidR="00930023" w:rsidRPr="007F51B2">
        <w:rPr>
          <w:rFonts w:ascii="宋体" w:hAnsi="宋体"/>
          <w:szCs w:val="21"/>
        </w:rPr>
        <w:t>征集</w:t>
      </w:r>
      <w:r w:rsidR="00930023" w:rsidRPr="007F51B2">
        <w:rPr>
          <w:rFonts w:ascii="宋体" w:hAnsi="宋体" w:hint="eastAsia"/>
          <w:szCs w:val="21"/>
        </w:rPr>
        <w:t>后</w:t>
      </w:r>
      <w:r w:rsidRPr="007F51B2">
        <w:rPr>
          <w:rFonts w:ascii="宋体" w:hAnsi="宋体" w:hint="eastAsia"/>
          <w:szCs w:val="21"/>
        </w:rPr>
        <w:t>组</w:t>
      </w:r>
      <w:r w:rsidR="00930023" w:rsidRPr="007F51B2">
        <w:rPr>
          <w:rFonts w:ascii="宋体" w:hAnsi="宋体" w:hint="eastAsia"/>
          <w:szCs w:val="21"/>
        </w:rPr>
        <w:t>建了</w:t>
      </w:r>
      <w:r w:rsidRPr="007F51B2">
        <w:rPr>
          <w:rFonts w:ascii="宋体" w:hAnsi="宋体" w:hint="eastAsia"/>
          <w:szCs w:val="21"/>
        </w:rPr>
        <w:t>标准</w:t>
      </w:r>
      <w:r w:rsidRPr="007F51B2">
        <w:rPr>
          <w:rFonts w:ascii="宋体" w:hAnsi="宋体"/>
          <w:szCs w:val="21"/>
        </w:rPr>
        <w:t>标准起草</w:t>
      </w:r>
      <w:r w:rsidRPr="007F51B2">
        <w:rPr>
          <w:rFonts w:ascii="宋体" w:hAnsi="宋体" w:hint="eastAsia"/>
          <w:szCs w:val="21"/>
        </w:rPr>
        <w:t>工作组</w:t>
      </w:r>
      <w:r w:rsidR="00C54D6A">
        <w:rPr>
          <w:rFonts w:ascii="宋体" w:hAnsi="宋体" w:hint="eastAsia"/>
          <w:szCs w:val="21"/>
        </w:rPr>
        <w:t>，确定了工作分工及进度安排等要求</w:t>
      </w:r>
      <w:r w:rsidR="006C1CD8" w:rsidRPr="007F51B2">
        <w:rPr>
          <w:rFonts w:ascii="宋体" w:hAnsi="宋体" w:hint="eastAsia"/>
          <w:szCs w:val="21"/>
        </w:rPr>
        <w:t>。</w:t>
      </w:r>
      <w:r w:rsidR="00944DC1">
        <w:rPr>
          <w:rFonts w:ascii="宋体" w:hAnsi="宋体" w:hint="eastAsia"/>
          <w:szCs w:val="21"/>
        </w:rPr>
        <w:t>由</w:t>
      </w:r>
      <w:r w:rsidR="00C54D6A">
        <w:rPr>
          <w:rFonts w:ascii="宋体" w:hAnsi="宋体" w:hint="eastAsia"/>
          <w:szCs w:val="21"/>
        </w:rPr>
        <w:t>于</w:t>
      </w:r>
      <w:r w:rsidR="00256D7C" w:rsidRPr="007F51B2">
        <w:rPr>
          <w:rFonts w:ascii="宋体" w:hAnsi="宋体" w:hint="eastAsia"/>
          <w:szCs w:val="21"/>
        </w:rPr>
        <w:t>本标准为对应于</w:t>
      </w:r>
      <w:r w:rsidR="00256D7C" w:rsidRPr="007F51B2">
        <w:rPr>
          <w:rFonts w:ascii="宋体" w:hAnsi="宋体"/>
          <w:szCs w:val="21"/>
        </w:rPr>
        <w:t>ISO/IEC 80079</w:t>
      </w:r>
      <w:r w:rsidR="00256D7C" w:rsidRPr="007F51B2">
        <w:rPr>
          <w:rFonts w:ascii="宋体" w:hAnsi="宋体" w:hint="eastAsia"/>
          <w:szCs w:val="21"/>
        </w:rPr>
        <w:t>-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：20</w:t>
      </w:r>
      <w:r w:rsidR="00256D7C" w:rsidRPr="007F51B2">
        <w:rPr>
          <w:rFonts w:ascii="宋体" w:hAnsi="宋体"/>
          <w:szCs w:val="21"/>
        </w:rPr>
        <w:t>24</w:t>
      </w:r>
      <w:r w:rsidR="00256D7C" w:rsidRPr="007F51B2">
        <w:rPr>
          <w:rFonts w:ascii="宋体" w:hAnsi="宋体" w:hint="eastAsia"/>
          <w:szCs w:val="21"/>
        </w:rPr>
        <w:t>《爆炸性环境 第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部分：阻火器</w:t>
      </w:r>
      <w:r w:rsidR="00256D7C" w:rsidRPr="007F51B2">
        <w:rPr>
          <w:rFonts w:ascii="宋体" w:hAnsi="宋体"/>
          <w:szCs w:val="21"/>
        </w:rPr>
        <w:t xml:space="preserve"> </w:t>
      </w:r>
      <w:r w:rsidR="00256D7C" w:rsidRPr="007F51B2">
        <w:rPr>
          <w:rFonts w:ascii="宋体" w:hAnsi="宋体" w:hint="eastAsia"/>
          <w:szCs w:val="21"/>
        </w:rPr>
        <w:t>性能要求、试验方法和使用限制》的转化项目，工作组依据国际标准对草案进行了再次核对完善。</w:t>
      </w:r>
    </w:p>
    <w:p w14:paraId="1AD8048B" w14:textId="1F2C867D" w:rsidR="00916E11" w:rsidRPr="007F51B2" w:rsidRDefault="00256D7C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2</w:t>
      </w:r>
      <w:r w:rsidRPr="007F51B2">
        <w:rPr>
          <w:rFonts w:ascii="宋体" w:hAnsi="宋体"/>
          <w:szCs w:val="21"/>
        </w:rPr>
        <w:t>026</w:t>
      </w:r>
      <w:r w:rsidRPr="007F51B2">
        <w:rPr>
          <w:rFonts w:ascii="宋体" w:hAnsi="宋体" w:hint="eastAsia"/>
          <w:szCs w:val="21"/>
        </w:rPr>
        <w:t>年7月2</w:t>
      </w:r>
      <w:r w:rsidRPr="007F51B2">
        <w:rPr>
          <w:rFonts w:ascii="宋体" w:hAnsi="宋体"/>
          <w:szCs w:val="21"/>
        </w:rPr>
        <w:t>3</w:t>
      </w:r>
      <w:r w:rsidRPr="007F51B2">
        <w:rPr>
          <w:rFonts w:ascii="宋体" w:hAnsi="宋体" w:hint="eastAsia"/>
          <w:szCs w:val="21"/>
        </w:rPr>
        <w:t>日，标委会</w:t>
      </w:r>
      <w:r w:rsidR="00930023" w:rsidRPr="007F51B2">
        <w:rPr>
          <w:rFonts w:ascii="宋体" w:hAnsi="宋体" w:hint="eastAsia"/>
          <w:szCs w:val="21"/>
        </w:rPr>
        <w:t>秘书处</w:t>
      </w:r>
      <w:r w:rsidR="00916E11" w:rsidRPr="007F51B2">
        <w:rPr>
          <w:rFonts w:ascii="宋体" w:hAnsi="宋体" w:hint="eastAsia"/>
          <w:szCs w:val="21"/>
        </w:rPr>
        <w:t>在徐州</w:t>
      </w:r>
      <w:r w:rsidR="00930023" w:rsidRPr="007F51B2">
        <w:rPr>
          <w:rFonts w:ascii="宋体" w:hAnsi="宋体" w:hint="eastAsia"/>
          <w:szCs w:val="21"/>
        </w:rPr>
        <w:t>组织</w:t>
      </w:r>
      <w:r w:rsidR="00916E11" w:rsidRPr="007F51B2">
        <w:rPr>
          <w:rFonts w:ascii="宋体" w:hAnsi="宋体" w:hint="eastAsia"/>
          <w:szCs w:val="21"/>
        </w:rPr>
        <w:t>召开起草工作会议，</w:t>
      </w:r>
      <w:r w:rsidR="00930023" w:rsidRPr="007F51B2">
        <w:rPr>
          <w:rFonts w:ascii="宋体" w:hAnsi="宋体" w:hint="eastAsia"/>
          <w:szCs w:val="21"/>
        </w:rPr>
        <w:t>会上对标准</w:t>
      </w:r>
      <w:r w:rsidR="00354429" w:rsidRPr="007F51B2">
        <w:rPr>
          <w:rFonts w:ascii="宋体" w:hAnsi="宋体" w:hint="eastAsia"/>
          <w:szCs w:val="21"/>
        </w:rPr>
        <w:t>草案的技术内容进行了详细研讨，提出了修改意见，确定将于会后尽快提交秘书处进</w:t>
      </w:r>
      <w:r w:rsidR="00354429" w:rsidRPr="007F51B2">
        <w:rPr>
          <w:rFonts w:ascii="宋体" w:hAnsi="宋体"/>
          <w:szCs w:val="21"/>
        </w:rPr>
        <w:t>行广</w:t>
      </w:r>
      <w:r w:rsidR="00354429" w:rsidRPr="007F51B2">
        <w:rPr>
          <w:rFonts w:ascii="宋体" w:hAnsi="宋体" w:hint="eastAsia"/>
          <w:szCs w:val="21"/>
        </w:rPr>
        <w:t>泛</w:t>
      </w:r>
      <w:r w:rsidR="00354429" w:rsidRPr="007F51B2">
        <w:rPr>
          <w:rFonts w:ascii="宋体" w:hAnsi="宋体"/>
          <w:szCs w:val="21"/>
        </w:rPr>
        <w:t>征求意见</w:t>
      </w:r>
      <w:r w:rsidR="00354429" w:rsidRPr="007F51B2">
        <w:rPr>
          <w:rFonts w:ascii="宋体" w:hAnsi="宋体" w:hint="eastAsia"/>
          <w:szCs w:val="21"/>
        </w:rPr>
        <w:t>。</w:t>
      </w:r>
    </w:p>
    <w:p w14:paraId="7403FC21" w14:textId="3A37D54C" w:rsidR="000F005A" w:rsidRPr="007F51B2" w:rsidRDefault="00256D7C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会后</w:t>
      </w:r>
      <w:r w:rsidRPr="007F51B2">
        <w:rPr>
          <w:rFonts w:ascii="宋体" w:hAnsi="宋体"/>
          <w:szCs w:val="21"/>
        </w:rPr>
        <w:t>，工作组在对标准草案稿进一步修改完善后，于</w:t>
      </w:r>
      <w:r w:rsidR="002B7B67">
        <w:rPr>
          <w:rFonts w:ascii="宋体" w:hAnsi="宋体"/>
          <w:szCs w:val="21"/>
        </w:rPr>
        <w:t>10</w:t>
      </w:r>
      <w:r w:rsidRPr="007F51B2">
        <w:rPr>
          <w:rFonts w:ascii="宋体" w:hAnsi="宋体"/>
          <w:szCs w:val="21"/>
        </w:rPr>
        <w:t>月形成标准征求意见稿，由秘书处送各委员单位及有关单位征求意见，同时通过秘书处挂靠单位网站、 国家标准制修订系统向社会公开征求意见。</w:t>
      </w:r>
    </w:p>
    <w:p w14:paraId="33867723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二、标准编写原则和主要内容</w:t>
      </w:r>
    </w:p>
    <w:p w14:paraId="21B72B13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1．编写原则</w:t>
      </w:r>
    </w:p>
    <w:p w14:paraId="3876983E" w14:textId="0B3FA674" w:rsidR="000F005A" w:rsidRPr="007F51B2" w:rsidRDefault="006C1CD8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在标准内容上修改采用</w:t>
      </w:r>
      <w:r w:rsidR="00256D7C" w:rsidRPr="007F51B2">
        <w:rPr>
          <w:rFonts w:ascii="宋体" w:hAnsi="宋体"/>
          <w:szCs w:val="21"/>
        </w:rPr>
        <w:t>ISO/IEC 80079</w:t>
      </w:r>
      <w:r w:rsidR="00256D7C" w:rsidRPr="007F51B2">
        <w:rPr>
          <w:rFonts w:ascii="宋体" w:hAnsi="宋体" w:hint="eastAsia"/>
          <w:szCs w:val="21"/>
        </w:rPr>
        <w:t>-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：20</w:t>
      </w:r>
      <w:r w:rsidR="00256D7C" w:rsidRPr="007F51B2">
        <w:rPr>
          <w:rFonts w:ascii="宋体" w:hAnsi="宋体"/>
          <w:szCs w:val="21"/>
        </w:rPr>
        <w:t>24</w:t>
      </w:r>
      <w:r w:rsidR="00256D7C" w:rsidRPr="007F51B2">
        <w:rPr>
          <w:rFonts w:ascii="宋体" w:hAnsi="宋体" w:hint="eastAsia"/>
          <w:szCs w:val="21"/>
        </w:rPr>
        <w:t>《爆炸性环境 第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部分：阻火器</w:t>
      </w:r>
      <w:r w:rsidR="00256D7C" w:rsidRPr="007F51B2">
        <w:rPr>
          <w:rFonts w:ascii="宋体" w:hAnsi="宋体"/>
          <w:szCs w:val="21"/>
        </w:rPr>
        <w:t xml:space="preserve"> </w:t>
      </w:r>
      <w:r w:rsidR="00256D7C" w:rsidRPr="007F51B2">
        <w:rPr>
          <w:rFonts w:ascii="宋体" w:hAnsi="宋体" w:hint="eastAsia"/>
          <w:szCs w:val="21"/>
        </w:rPr>
        <w:t>性能要求、试验方法和使用限制》</w:t>
      </w:r>
      <w:r w:rsidRPr="007F51B2">
        <w:rPr>
          <w:rFonts w:ascii="宋体" w:hAnsi="宋体" w:hint="eastAsia"/>
          <w:szCs w:val="21"/>
        </w:rPr>
        <w:t>。</w:t>
      </w:r>
    </w:p>
    <w:p w14:paraId="5C9DB0DE" w14:textId="77777777" w:rsidR="000F005A" w:rsidRPr="007F51B2" w:rsidRDefault="006C1CD8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在编写格式上按照</w:t>
      </w:r>
      <w:r w:rsidRPr="007F51B2">
        <w:rPr>
          <w:rFonts w:ascii="宋体" w:hAnsi="宋体"/>
          <w:szCs w:val="21"/>
        </w:rPr>
        <w:t>GB/T 1.1</w:t>
      </w:r>
      <w:r w:rsidRPr="007F51B2">
        <w:rPr>
          <w:rFonts w:ascii="宋体" w:hAnsi="宋体" w:hint="eastAsia"/>
          <w:szCs w:val="21"/>
        </w:rPr>
        <w:t>-</w:t>
      </w:r>
      <w:r w:rsidRPr="007F51B2">
        <w:rPr>
          <w:rFonts w:ascii="宋体" w:hAnsi="宋体"/>
          <w:szCs w:val="21"/>
        </w:rPr>
        <w:t>2020给出的规</w:t>
      </w:r>
      <w:r w:rsidRPr="007F51B2">
        <w:rPr>
          <w:rFonts w:ascii="宋体" w:hAnsi="宋体" w:hint="eastAsia"/>
          <w:szCs w:val="21"/>
        </w:rPr>
        <w:t>则。</w:t>
      </w:r>
    </w:p>
    <w:p w14:paraId="169E6707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2．主要内容及</w:t>
      </w:r>
      <w:r w:rsidRPr="007F51B2">
        <w:rPr>
          <w:rFonts w:ascii="宋体" w:hAnsi="宋体"/>
          <w:b/>
          <w:bCs/>
          <w:kern w:val="0"/>
          <w:szCs w:val="21"/>
        </w:rPr>
        <w:t>依据</w:t>
      </w:r>
    </w:p>
    <w:p w14:paraId="74659949" w14:textId="0EE852E8" w:rsidR="00256D7C" w:rsidRPr="007F51B2" w:rsidRDefault="007F51B2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cs="宋体"/>
          <w:szCs w:val="21"/>
        </w:rPr>
        <w:t>本标准</w:t>
      </w:r>
      <w:r w:rsidR="00256D7C" w:rsidRPr="007F51B2">
        <w:rPr>
          <w:rFonts w:ascii="宋体" w:hAnsi="宋体" w:cs="宋体"/>
          <w:szCs w:val="21"/>
        </w:rPr>
        <w:t>规定了当爆炸性气体-空气或蒸气-空气混合物存在时防止火焰传播的阻火器的要求。</w:t>
      </w:r>
      <w:r w:rsidRPr="007F51B2">
        <w:rPr>
          <w:rFonts w:ascii="宋体" w:hAnsi="宋体" w:cs="宋体" w:hint="eastAsia"/>
          <w:szCs w:val="21"/>
        </w:rPr>
        <w:t>本标准</w:t>
      </w:r>
      <w:r w:rsidR="00256D7C" w:rsidRPr="007F51B2">
        <w:rPr>
          <w:rFonts w:ascii="宋体" w:hAnsi="宋体" w:cs="宋体"/>
          <w:szCs w:val="21"/>
        </w:rPr>
        <w:t>建立了分类、基本结构和使用信息的统一原则，包括阻火器的标</w:t>
      </w:r>
      <w:r w:rsidR="00256D7C" w:rsidRPr="007F51B2">
        <w:rPr>
          <w:rFonts w:ascii="宋体" w:hAnsi="宋体" w:cs="宋体" w:hint="eastAsia"/>
          <w:szCs w:val="21"/>
        </w:rPr>
        <w:t>志</w:t>
      </w:r>
      <w:r w:rsidR="00256D7C" w:rsidRPr="007F51B2">
        <w:rPr>
          <w:rFonts w:ascii="宋体" w:hAnsi="宋体" w:cs="宋体"/>
          <w:szCs w:val="21"/>
        </w:rPr>
        <w:t>，并规定了验证安全要求和确定安全使用限值的</w:t>
      </w:r>
      <w:r w:rsidR="00256D7C" w:rsidRPr="007F51B2">
        <w:rPr>
          <w:rFonts w:ascii="宋体" w:hAnsi="宋体" w:cs="宋体" w:hint="eastAsia"/>
          <w:szCs w:val="21"/>
        </w:rPr>
        <w:t>试验</w:t>
      </w:r>
      <w:r w:rsidR="00256D7C" w:rsidRPr="007F51B2">
        <w:rPr>
          <w:rFonts w:ascii="宋体" w:hAnsi="宋体" w:cs="宋体"/>
          <w:szCs w:val="21"/>
        </w:rPr>
        <w:t>方法。</w:t>
      </w:r>
    </w:p>
    <w:p w14:paraId="78B67070" w14:textId="6E26FF98" w:rsidR="00256D7C" w:rsidRPr="007F51B2" w:rsidRDefault="007F51B2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cs="宋体"/>
          <w:szCs w:val="21"/>
        </w:rPr>
        <w:t>本标准</w:t>
      </w:r>
      <w:r w:rsidR="00256D7C" w:rsidRPr="007F51B2">
        <w:rPr>
          <w:rFonts w:ascii="宋体" w:hAnsi="宋体" w:cs="宋体"/>
          <w:szCs w:val="21"/>
        </w:rPr>
        <w:t>适用于80k</w:t>
      </w:r>
      <w:r w:rsidR="00256D7C" w:rsidRPr="007F51B2">
        <w:rPr>
          <w:rFonts w:ascii="宋体" w:hAnsi="宋体" w:cs="宋体" w:hint="eastAsia"/>
          <w:szCs w:val="21"/>
        </w:rPr>
        <w:t>P</w:t>
      </w:r>
      <w:r w:rsidR="00256D7C" w:rsidRPr="007F51B2">
        <w:rPr>
          <w:rFonts w:ascii="宋体" w:hAnsi="宋体" w:cs="宋体"/>
          <w:szCs w:val="21"/>
        </w:rPr>
        <w:t>a</w:t>
      </w:r>
      <w:r w:rsidR="00256D7C" w:rsidRPr="007F51B2">
        <w:rPr>
          <w:rFonts w:ascii="宋体" w:hAnsi="宋体" w:cs="宋体" w:hint="eastAsia"/>
          <w:szCs w:val="21"/>
        </w:rPr>
        <w:t>～</w:t>
      </w:r>
      <w:r w:rsidR="00256D7C" w:rsidRPr="007F51B2">
        <w:rPr>
          <w:rFonts w:ascii="宋体" w:hAnsi="宋体" w:cs="宋体"/>
          <w:szCs w:val="21"/>
        </w:rPr>
        <w:t>160kpa</w:t>
      </w:r>
      <w:r w:rsidR="00256D7C" w:rsidRPr="007F51B2">
        <w:rPr>
          <w:rFonts w:ascii="宋体" w:hAnsi="宋体" w:cs="宋体" w:hint="eastAsia"/>
          <w:szCs w:val="21"/>
        </w:rPr>
        <w:t>的</w:t>
      </w:r>
      <w:r w:rsidR="00256D7C" w:rsidRPr="007F51B2">
        <w:rPr>
          <w:rFonts w:ascii="宋体" w:hAnsi="宋体" w:cs="宋体"/>
          <w:szCs w:val="21"/>
        </w:rPr>
        <w:t>压力</w:t>
      </w:r>
      <w:r w:rsidR="00256D7C" w:rsidRPr="007F51B2">
        <w:rPr>
          <w:rFonts w:ascii="宋体" w:hAnsi="宋体" w:cs="宋体" w:hint="eastAsia"/>
          <w:szCs w:val="21"/>
        </w:rPr>
        <w:t>范围和－</w:t>
      </w:r>
      <w:r w:rsidR="00256D7C" w:rsidRPr="007F51B2">
        <w:rPr>
          <w:rFonts w:ascii="宋体" w:hAnsi="宋体" w:cs="宋体"/>
          <w:szCs w:val="21"/>
        </w:rPr>
        <w:t>20℃</w:t>
      </w:r>
      <w:r w:rsidR="00256D7C" w:rsidRPr="007F51B2">
        <w:rPr>
          <w:rFonts w:ascii="宋体" w:hAnsi="宋体" w:cs="宋体" w:hint="eastAsia"/>
          <w:szCs w:val="21"/>
        </w:rPr>
        <w:t>～＋</w:t>
      </w:r>
      <w:r w:rsidR="00256D7C" w:rsidRPr="007F51B2">
        <w:rPr>
          <w:rFonts w:ascii="宋体" w:hAnsi="宋体" w:cs="宋体"/>
          <w:szCs w:val="21"/>
        </w:rPr>
        <w:t>200℃的温度</w:t>
      </w:r>
      <w:r w:rsidR="00256D7C" w:rsidRPr="007F51B2">
        <w:rPr>
          <w:rFonts w:ascii="宋体" w:hAnsi="宋体" w:cs="宋体" w:hint="eastAsia"/>
          <w:szCs w:val="21"/>
        </w:rPr>
        <w:t>范围</w:t>
      </w:r>
      <w:r w:rsidR="00256D7C" w:rsidRPr="007F51B2">
        <w:rPr>
          <w:rFonts w:ascii="宋体" w:hAnsi="宋体" w:cs="宋体"/>
          <w:szCs w:val="21"/>
        </w:rPr>
        <w:t>。</w:t>
      </w:r>
    </w:p>
    <w:p w14:paraId="7351B063" w14:textId="4CCCEDD3" w:rsidR="00256D7C" w:rsidRPr="007F51B2" w:rsidRDefault="007F51B2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cs="宋体"/>
          <w:szCs w:val="21"/>
        </w:rPr>
        <w:t>本标准</w:t>
      </w:r>
      <w:r w:rsidR="00256D7C" w:rsidRPr="007F51B2">
        <w:rPr>
          <w:rFonts w:ascii="宋体" w:hAnsi="宋体" w:cs="宋体"/>
          <w:szCs w:val="21"/>
        </w:rPr>
        <w:t>不适用于以下情况：</w:t>
      </w:r>
    </w:p>
    <w:p w14:paraId="1FE8B709" w14:textId="77777777" w:rsidR="00256D7C" w:rsidRPr="007F51B2" w:rsidRDefault="00256D7C" w:rsidP="007F51B2">
      <w:p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可能需要在既定安全</w:t>
      </w:r>
      <w:r w:rsidRPr="007F51B2">
        <w:rPr>
          <w:rFonts w:ascii="宋体" w:hAnsi="宋体" w:cs="宋体" w:hint="eastAsia"/>
          <w:szCs w:val="21"/>
        </w:rPr>
        <w:t>限制内</w:t>
      </w:r>
      <w:r w:rsidRPr="007F51B2">
        <w:rPr>
          <w:rFonts w:ascii="宋体" w:hAnsi="宋体" w:cs="宋体"/>
          <w:szCs w:val="21"/>
        </w:rPr>
        <w:t>保持</w:t>
      </w:r>
      <w:r w:rsidRPr="007F51B2">
        <w:rPr>
          <w:rFonts w:ascii="宋体" w:hAnsi="宋体" w:cs="宋体" w:hint="eastAsia"/>
          <w:szCs w:val="21"/>
        </w:rPr>
        <w:t>运行条件</w:t>
      </w:r>
      <w:r w:rsidRPr="007F51B2">
        <w:rPr>
          <w:rFonts w:ascii="宋体" w:hAnsi="宋体" w:cs="宋体"/>
          <w:szCs w:val="21"/>
        </w:rPr>
        <w:t>的外部安全相关测量和控制设备；</w:t>
      </w:r>
    </w:p>
    <w:p w14:paraId="6B6E3597" w14:textId="77777777" w:rsidR="00256D7C" w:rsidRPr="007F51B2" w:rsidRDefault="00256D7C" w:rsidP="007F51B2">
      <w:p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用于易于自分解（如乙炔）或化学性质不稳定的蒸气和气体爆炸性混合物的阻火器；</w:t>
      </w:r>
    </w:p>
    <w:p w14:paraId="7E0AD35E" w14:textId="77777777" w:rsidR="00256D7C" w:rsidRPr="007F51B2" w:rsidRDefault="00256D7C" w:rsidP="007F51B2">
      <w:p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用于二硫化碳的阻火器（由于其特殊</w:t>
      </w:r>
      <w:r w:rsidRPr="007F51B2">
        <w:rPr>
          <w:rFonts w:ascii="宋体" w:hAnsi="宋体" w:cs="宋体" w:hint="eastAsia"/>
          <w:szCs w:val="21"/>
        </w:rPr>
        <w:t>性质</w:t>
      </w:r>
      <w:r w:rsidRPr="007F51B2">
        <w:rPr>
          <w:rFonts w:ascii="宋体" w:hAnsi="宋体" w:cs="宋体"/>
          <w:szCs w:val="21"/>
        </w:rPr>
        <w:t>）；</w:t>
      </w:r>
    </w:p>
    <w:p w14:paraId="005BC48C" w14:textId="77777777" w:rsidR="00256D7C" w:rsidRPr="007F51B2" w:rsidRDefault="00256D7C" w:rsidP="007F51B2">
      <w:p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——用于</w:t>
      </w:r>
      <w:r w:rsidRPr="007F51B2">
        <w:rPr>
          <w:rFonts w:ascii="宋体" w:hAnsi="宋体" w:cs="宋体"/>
          <w:szCs w:val="21"/>
        </w:rPr>
        <w:t>除气体-空气混合物或蒸</w:t>
      </w:r>
      <w:r w:rsidRPr="007F51B2">
        <w:rPr>
          <w:rFonts w:ascii="宋体" w:hAnsi="宋体" w:cs="宋体" w:hint="eastAsia"/>
          <w:szCs w:val="21"/>
        </w:rPr>
        <w:t>气</w:t>
      </w:r>
      <w:r w:rsidRPr="007F51B2">
        <w:rPr>
          <w:rFonts w:ascii="宋体" w:hAnsi="宋体" w:cs="宋体"/>
          <w:szCs w:val="21"/>
        </w:rPr>
        <w:t>-空气混合物外的</w:t>
      </w:r>
      <w:r w:rsidRPr="007F51B2">
        <w:rPr>
          <w:rFonts w:ascii="宋体" w:hAnsi="宋体" w:cs="宋体"/>
          <w:spacing w:val="11"/>
          <w:szCs w:val="21"/>
        </w:rPr>
        <w:t>混合物</w:t>
      </w:r>
      <w:r w:rsidRPr="007F51B2">
        <w:rPr>
          <w:rFonts w:ascii="宋体" w:hAnsi="宋体" w:cs="宋体"/>
          <w:szCs w:val="21"/>
        </w:rPr>
        <w:t>（如更高的氧氮比</w:t>
      </w:r>
      <w:r w:rsidRPr="007F51B2">
        <w:rPr>
          <w:rFonts w:ascii="宋体" w:hAnsi="宋体" w:cs="宋体" w:hint="eastAsia"/>
          <w:szCs w:val="21"/>
        </w:rPr>
        <w:t>、</w:t>
      </w:r>
      <w:r w:rsidRPr="007F51B2">
        <w:rPr>
          <w:rFonts w:ascii="宋体" w:hAnsi="宋体" w:cs="宋体"/>
          <w:szCs w:val="21"/>
        </w:rPr>
        <w:t>氯作为氧化剂）的阻火器；</w:t>
      </w:r>
    </w:p>
    <w:p w14:paraId="5B8FEB07" w14:textId="77777777" w:rsidR="00256D7C" w:rsidRPr="007F51B2" w:rsidRDefault="00256D7C" w:rsidP="007F51B2">
      <w:p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往复式内燃机阻火器试验程序；</w:t>
      </w:r>
    </w:p>
    <w:p w14:paraId="77F8CA19" w14:textId="77777777" w:rsidR="00256D7C" w:rsidRPr="007F51B2" w:rsidRDefault="00256D7C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快速</w:t>
      </w:r>
      <w:r w:rsidRPr="007F51B2">
        <w:rPr>
          <w:rFonts w:ascii="宋体" w:hAnsi="宋体" w:cs="宋体" w:hint="eastAsia"/>
          <w:szCs w:val="21"/>
        </w:rPr>
        <w:t>动作</w:t>
      </w:r>
      <w:r w:rsidRPr="007F51B2">
        <w:rPr>
          <w:rFonts w:ascii="宋体" w:hAnsi="宋体" w:cs="宋体"/>
          <w:szCs w:val="21"/>
        </w:rPr>
        <w:t>阀、灭火系统和其他爆</w:t>
      </w:r>
      <w:r w:rsidRPr="007F51B2">
        <w:rPr>
          <w:rFonts w:ascii="宋体" w:hAnsi="宋体" w:cs="宋体" w:hint="eastAsia"/>
          <w:szCs w:val="21"/>
        </w:rPr>
        <w:t>炸隔离</w:t>
      </w:r>
      <w:r w:rsidRPr="007F51B2">
        <w:rPr>
          <w:rFonts w:ascii="宋体" w:hAnsi="宋体" w:cs="宋体"/>
          <w:szCs w:val="21"/>
        </w:rPr>
        <w:t>系统；</w:t>
      </w:r>
    </w:p>
    <w:p w14:paraId="7AADE76E" w14:textId="41E95A29" w:rsidR="000F005A" w:rsidRPr="007F51B2" w:rsidRDefault="00256D7C" w:rsidP="007F51B2">
      <w:pPr>
        <w:spacing w:line="276" w:lineRule="auto"/>
        <w:ind w:firstLineChars="200" w:firstLine="420"/>
        <w:rPr>
          <w:rFonts w:ascii="宋体" w:hAnsi="宋体" w:cs="宋体"/>
          <w:szCs w:val="21"/>
        </w:rPr>
      </w:pPr>
      <w:r w:rsidRPr="007F51B2">
        <w:rPr>
          <w:rFonts w:ascii="宋体" w:hAnsi="宋体" w:cs="宋体" w:hint="eastAsia"/>
          <w:szCs w:val="21"/>
        </w:rPr>
        <w:t>——</w:t>
      </w:r>
      <w:r w:rsidRPr="007F51B2">
        <w:rPr>
          <w:rFonts w:ascii="宋体" w:hAnsi="宋体" w:cs="宋体"/>
          <w:szCs w:val="21"/>
        </w:rPr>
        <w:t>气体探测器</w:t>
      </w:r>
      <w:r w:rsidRPr="007F51B2">
        <w:rPr>
          <w:rFonts w:ascii="宋体" w:hAnsi="宋体" w:cs="宋体" w:hint="eastAsia"/>
          <w:szCs w:val="21"/>
        </w:rPr>
        <w:t>中使用</w:t>
      </w:r>
      <w:r w:rsidRPr="007F51B2">
        <w:rPr>
          <w:rFonts w:ascii="宋体" w:hAnsi="宋体" w:cs="宋体"/>
          <w:szCs w:val="21"/>
        </w:rPr>
        <w:t>的阻火器（如GB/T 20936.1和IEC 62990-1所涵盖的阻火器）</w:t>
      </w:r>
      <w:r w:rsidR="006C1CD8" w:rsidRPr="007F51B2">
        <w:rPr>
          <w:rFonts w:ascii="宋体" w:hAnsi="宋体" w:cs="宋体" w:hint="eastAsia"/>
          <w:szCs w:val="21"/>
        </w:rPr>
        <w:t>。</w:t>
      </w:r>
    </w:p>
    <w:p w14:paraId="1AF452B1" w14:textId="00A86CEC" w:rsidR="000F005A" w:rsidRPr="007F51B2" w:rsidRDefault="007F51B2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本标准</w:t>
      </w:r>
      <w:r w:rsidR="006C1CD8" w:rsidRPr="007F51B2">
        <w:rPr>
          <w:rFonts w:ascii="宋体" w:hAnsi="宋体" w:hint="eastAsia"/>
          <w:szCs w:val="21"/>
        </w:rPr>
        <w:t>共有</w:t>
      </w:r>
      <w:r w:rsidR="00256D7C" w:rsidRPr="007F51B2">
        <w:rPr>
          <w:rFonts w:ascii="宋体" w:hAnsi="宋体"/>
          <w:szCs w:val="21"/>
        </w:rPr>
        <w:t>14</w:t>
      </w:r>
      <w:r w:rsidR="006C1CD8" w:rsidRPr="007F51B2">
        <w:rPr>
          <w:rFonts w:ascii="宋体" w:hAnsi="宋体" w:hint="eastAsia"/>
          <w:szCs w:val="21"/>
        </w:rPr>
        <w:t>个章节和</w:t>
      </w:r>
      <w:r w:rsidR="00256D7C" w:rsidRPr="007F51B2">
        <w:rPr>
          <w:rFonts w:ascii="宋体" w:hAnsi="宋体"/>
          <w:szCs w:val="21"/>
        </w:rPr>
        <w:t>5</w:t>
      </w:r>
      <w:r w:rsidR="006C1CD8" w:rsidRPr="007F51B2">
        <w:rPr>
          <w:rFonts w:ascii="宋体" w:hAnsi="宋体" w:hint="eastAsia"/>
          <w:szCs w:val="21"/>
        </w:rPr>
        <w:t>个</w:t>
      </w:r>
      <w:r w:rsidR="006C1CD8" w:rsidRPr="007F51B2">
        <w:rPr>
          <w:rFonts w:ascii="宋体" w:hAnsi="宋体"/>
          <w:szCs w:val="21"/>
        </w:rPr>
        <w:t>附录</w:t>
      </w:r>
      <w:r w:rsidR="006C1CD8" w:rsidRPr="007F51B2">
        <w:rPr>
          <w:rFonts w:ascii="宋体" w:hAnsi="宋体" w:hint="eastAsia"/>
          <w:szCs w:val="21"/>
        </w:rPr>
        <w:t>：</w:t>
      </w:r>
    </w:p>
    <w:p w14:paraId="33180D28" w14:textId="30BA9378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 范围</w:t>
      </w:r>
    </w:p>
    <w:p w14:paraId="3CBD7ABE" w14:textId="4F8026FE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2 规范性引用文件</w:t>
      </w:r>
    </w:p>
    <w:p w14:paraId="4C1AA23D" w14:textId="4C150B8D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3 术语和定义</w:t>
      </w:r>
    </w:p>
    <w:p w14:paraId="34CEE87C" w14:textId="31ACF3C3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lastRenderedPageBreak/>
        <w:t>4 符号</w:t>
      </w:r>
    </w:p>
    <w:p w14:paraId="00B9AD39" w14:textId="1AA94AB0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5 危险和阻火器分类</w:t>
      </w:r>
    </w:p>
    <w:p w14:paraId="2853C76B" w14:textId="5C618B0D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5.1 火焰传播分类：爆燃、稳定和非不稳定爆轰；5.2 火焰传播分类：稳定燃烧；5.3 试验指标</w:t>
      </w:r>
    </w:p>
    <w:p w14:paraId="31161882" w14:textId="0EE82DD1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6 一般要求</w:t>
      </w:r>
    </w:p>
    <w:p w14:paraId="2EF7A6C6" w14:textId="42F818ED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6.1 测量仪器；6.2 流量测量（空气）；6.3 火焰传播试验</w:t>
      </w:r>
    </w:p>
    <w:p w14:paraId="6DC5C4DB" w14:textId="04697063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7 静态阻火器的特殊要求</w:t>
      </w:r>
    </w:p>
    <w:p w14:paraId="5EC5BC1E" w14:textId="210E46A5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7.1 原型阻火器的结构要求；7.2 设计系列；7.3 火焰传播试验</w:t>
      </w:r>
    </w:p>
    <w:p w14:paraId="62CEC10F" w14:textId="27042F20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8 液体阻爆轰型阻火器的特殊要求</w:t>
      </w:r>
    </w:p>
    <w:p w14:paraId="375F87F0" w14:textId="79FD822F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8.1 液体密封；8.2 底阀；8.3 火焰传播试验</w:t>
      </w:r>
    </w:p>
    <w:p w14:paraId="66EED97A" w14:textId="53DC64D0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9 动态阻火器（高速排气阀）的特殊要求</w:t>
      </w:r>
    </w:p>
    <w:p w14:paraId="26AF6917" w14:textId="7FE4D283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9.1 通则；9.2 火焰传播试验</w:t>
      </w:r>
    </w:p>
    <w:p w14:paraId="325F58EB" w14:textId="286BC10D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10 水封阻火器的特殊要求</w:t>
      </w:r>
    </w:p>
    <w:p w14:paraId="3686528F" w14:textId="04FAC1FA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10.1 设备；10.2 火焰传播试验</w:t>
      </w:r>
    </w:p>
    <w:p w14:paraId="5A19FFE1" w14:textId="7455CC0A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11 安装在气体输送设备上或内部的阻火器的试验</w:t>
      </w:r>
    </w:p>
    <w:p w14:paraId="1767CA9C" w14:textId="404A6CA2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11.1 通则；11.2 火焰传播试验</w:t>
      </w:r>
    </w:p>
    <w:p w14:paraId="03D48417" w14:textId="5CA856AD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12 使用说明书</w:t>
      </w:r>
    </w:p>
    <w:p w14:paraId="0ADC096D" w14:textId="2A35DB86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13 标志</w:t>
      </w:r>
    </w:p>
    <w:p w14:paraId="74EE885A" w14:textId="3E8551CB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13.1 位置；13.2 阻火器外壳；13.3 阻火元件</w:t>
      </w:r>
    </w:p>
    <w:p w14:paraId="7DF1DADB" w14:textId="3C60EAF4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14 制造</w:t>
      </w:r>
    </w:p>
    <w:p w14:paraId="391FE81E" w14:textId="63F6CAAA" w:rsidR="00256D7C" w:rsidRPr="007F51B2" w:rsidRDefault="00256D7C" w:rsidP="007F51B2">
      <w:pPr>
        <w:spacing w:line="276" w:lineRule="auto"/>
        <w:ind w:leftChars="400" w:left="84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14.1 结构；14.2 外壳；14.3 接头；14.4 压力试验；14.5 泄漏试验</w:t>
      </w:r>
    </w:p>
    <w:p w14:paraId="1818A828" w14:textId="409B89DB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附录A（规范性）流量试验</w:t>
      </w:r>
    </w:p>
    <w:p w14:paraId="04F7D788" w14:textId="32D2659B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附录B（资料性）选择阻火器的信息</w:t>
      </w:r>
    </w:p>
    <w:p w14:paraId="33143D72" w14:textId="2B4A5986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附录C（资料性）推荐实践</w:t>
      </w:r>
    </w:p>
    <w:p w14:paraId="2A860B5E" w14:textId="1FE65346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附录D（资料性）试验结果评估</w:t>
      </w:r>
    </w:p>
    <w:p w14:paraId="736EDD87" w14:textId="2B1AA244" w:rsidR="00256D7C" w:rsidRPr="007F51B2" w:rsidRDefault="00256D7C" w:rsidP="007F51B2">
      <w:pPr>
        <w:spacing w:line="276" w:lineRule="auto"/>
        <w:ind w:leftChars="300" w:left="63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附录E（规范性）应用</w:t>
      </w:r>
    </w:p>
    <w:p w14:paraId="6D0A9DF6" w14:textId="3703D731" w:rsidR="000F005A" w:rsidRPr="007F51B2" w:rsidRDefault="006C1CD8" w:rsidP="007F51B2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本</w:t>
      </w:r>
      <w:r w:rsidR="007F51B2" w:rsidRPr="007F51B2">
        <w:rPr>
          <w:rFonts w:ascii="宋体" w:hAnsi="宋体" w:hint="eastAsia"/>
          <w:szCs w:val="21"/>
        </w:rPr>
        <w:t>标准</w:t>
      </w:r>
      <w:r w:rsidRPr="007F51B2">
        <w:rPr>
          <w:rFonts w:ascii="宋体" w:hAnsi="宋体"/>
          <w:szCs w:val="21"/>
        </w:rPr>
        <w:t>的</w:t>
      </w:r>
      <w:r w:rsidRPr="007F51B2">
        <w:rPr>
          <w:rFonts w:ascii="宋体" w:hAnsi="宋体" w:hint="eastAsia"/>
          <w:szCs w:val="21"/>
        </w:rPr>
        <w:t>主要内容与国</w:t>
      </w:r>
      <w:r w:rsidRPr="007F51B2">
        <w:rPr>
          <w:rFonts w:ascii="宋体" w:hAnsi="宋体"/>
          <w:szCs w:val="21"/>
        </w:rPr>
        <w:t>际</w:t>
      </w:r>
      <w:r w:rsidRPr="007F51B2">
        <w:rPr>
          <w:rFonts w:ascii="宋体" w:hAnsi="宋体" w:hint="eastAsia"/>
          <w:szCs w:val="21"/>
        </w:rPr>
        <w:t>标准</w:t>
      </w:r>
      <w:r w:rsidR="00256D7C" w:rsidRPr="007F51B2">
        <w:rPr>
          <w:rFonts w:ascii="宋体" w:hAnsi="宋体"/>
          <w:szCs w:val="21"/>
        </w:rPr>
        <w:t>ISO/IEC 80079</w:t>
      </w:r>
      <w:r w:rsidR="00256D7C" w:rsidRPr="007F51B2">
        <w:rPr>
          <w:rFonts w:ascii="宋体" w:hAnsi="宋体" w:hint="eastAsia"/>
          <w:szCs w:val="21"/>
        </w:rPr>
        <w:t>-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：20</w:t>
      </w:r>
      <w:r w:rsidR="00256D7C" w:rsidRPr="007F51B2">
        <w:rPr>
          <w:rFonts w:ascii="宋体" w:hAnsi="宋体"/>
          <w:szCs w:val="21"/>
        </w:rPr>
        <w:t>24</w:t>
      </w:r>
      <w:r w:rsidR="00256D7C" w:rsidRPr="007F51B2">
        <w:rPr>
          <w:rFonts w:ascii="宋体" w:hAnsi="宋体" w:hint="eastAsia"/>
          <w:szCs w:val="21"/>
        </w:rPr>
        <w:t>《爆炸性环境 第</w:t>
      </w:r>
      <w:r w:rsidR="00256D7C" w:rsidRPr="007F51B2">
        <w:rPr>
          <w:rFonts w:ascii="宋体" w:hAnsi="宋体"/>
          <w:szCs w:val="21"/>
        </w:rPr>
        <w:t>49</w:t>
      </w:r>
      <w:r w:rsidR="00256D7C" w:rsidRPr="007F51B2">
        <w:rPr>
          <w:rFonts w:ascii="宋体" w:hAnsi="宋体" w:hint="eastAsia"/>
          <w:szCs w:val="21"/>
        </w:rPr>
        <w:t>部分：阻火器</w:t>
      </w:r>
      <w:r w:rsidR="00256D7C" w:rsidRPr="007F51B2">
        <w:rPr>
          <w:rFonts w:ascii="宋体" w:hAnsi="宋体"/>
          <w:szCs w:val="21"/>
        </w:rPr>
        <w:t xml:space="preserve"> </w:t>
      </w:r>
      <w:r w:rsidR="00256D7C" w:rsidRPr="007F51B2">
        <w:rPr>
          <w:rFonts w:ascii="宋体" w:hAnsi="宋体" w:hint="eastAsia"/>
          <w:szCs w:val="21"/>
        </w:rPr>
        <w:t>性能要求、试验方法和使用限制》</w:t>
      </w:r>
      <w:r w:rsidRPr="007F51B2">
        <w:rPr>
          <w:rFonts w:ascii="宋体" w:hAnsi="宋体" w:hint="eastAsia"/>
          <w:szCs w:val="21"/>
        </w:rPr>
        <w:t>一</w:t>
      </w:r>
      <w:r w:rsidRPr="007F51B2">
        <w:rPr>
          <w:rFonts w:ascii="宋体" w:hAnsi="宋体"/>
          <w:szCs w:val="21"/>
        </w:rPr>
        <w:t>致。</w:t>
      </w:r>
    </w:p>
    <w:p w14:paraId="33ECD400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三、</w:t>
      </w:r>
      <w:hyperlink r:id="rId8" w:tgtFrame="_blank" w:history="1">
        <w:r w:rsidRPr="007F51B2">
          <w:rPr>
            <w:rFonts w:ascii="宋体" w:hAnsi="宋体"/>
            <w:b/>
            <w:bCs/>
            <w:kern w:val="0"/>
            <w:szCs w:val="21"/>
          </w:rPr>
          <w:t>采用国际标准</w:t>
        </w:r>
      </w:hyperlink>
      <w:r w:rsidRPr="007F51B2">
        <w:rPr>
          <w:rFonts w:ascii="宋体" w:hAnsi="宋体"/>
          <w:b/>
          <w:bCs/>
          <w:kern w:val="0"/>
          <w:szCs w:val="21"/>
        </w:rPr>
        <w:t>和</w:t>
      </w:r>
      <w:hyperlink r:id="rId9" w:tgtFrame="_blank" w:history="1">
        <w:r w:rsidRPr="007F51B2">
          <w:rPr>
            <w:rFonts w:ascii="宋体" w:hAnsi="宋体"/>
            <w:b/>
            <w:bCs/>
            <w:kern w:val="0"/>
            <w:szCs w:val="21"/>
          </w:rPr>
          <w:t>国外先进标准</w:t>
        </w:r>
      </w:hyperlink>
      <w:r w:rsidRPr="007F51B2">
        <w:rPr>
          <w:rFonts w:ascii="宋体" w:hAnsi="宋体"/>
          <w:b/>
          <w:bCs/>
          <w:kern w:val="0"/>
          <w:szCs w:val="21"/>
        </w:rPr>
        <w:t>的程度</w:t>
      </w:r>
      <w:r w:rsidRPr="007F51B2">
        <w:rPr>
          <w:rFonts w:ascii="宋体" w:hAnsi="宋体" w:hint="eastAsia"/>
          <w:b/>
          <w:bCs/>
          <w:kern w:val="0"/>
          <w:szCs w:val="21"/>
        </w:rPr>
        <w:t>，</w:t>
      </w:r>
      <w:r w:rsidRPr="007F51B2">
        <w:rPr>
          <w:rFonts w:ascii="宋体" w:hAnsi="宋体"/>
          <w:b/>
          <w:bCs/>
          <w:kern w:val="0"/>
          <w:szCs w:val="21"/>
        </w:rPr>
        <w:t>与国际、国外同类标准水平的对比情况</w:t>
      </w:r>
    </w:p>
    <w:p w14:paraId="332C4038" w14:textId="6D3D5155" w:rsidR="000F005A" w:rsidRPr="00560DE4" w:rsidRDefault="007F51B2" w:rsidP="007F51B2">
      <w:pPr>
        <w:numPr>
          <w:ilvl w:val="0"/>
          <w:numId w:val="3"/>
        </w:numPr>
        <w:spacing w:line="276" w:lineRule="auto"/>
        <w:ind w:firstLineChars="200"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本标准</w:t>
      </w:r>
      <w:r w:rsidR="006C1CD8" w:rsidRPr="007F51B2">
        <w:rPr>
          <w:rFonts w:ascii="宋体" w:hAnsi="宋体" w:hint="eastAsia"/>
          <w:szCs w:val="21"/>
        </w:rPr>
        <w:t>修改采用</w:t>
      </w:r>
      <w:r w:rsidRPr="007F51B2">
        <w:rPr>
          <w:rFonts w:ascii="宋体" w:hAnsi="宋体"/>
          <w:szCs w:val="21"/>
        </w:rPr>
        <w:t>ISO/IEC 80079</w:t>
      </w:r>
      <w:r w:rsidRPr="007F51B2">
        <w:rPr>
          <w:rFonts w:ascii="宋体" w:hAnsi="宋体" w:hint="eastAsia"/>
          <w:szCs w:val="21"/>
        </w:rPr>
        <w:t>-</w:t>
      </w:r>
      <w:r w:rsidRPr="007F51B2">
        <w:rPr>
          <w:rFonts w:ascii="宋体" w:hAnsi="宋体"/>
          <w:szCs w:val="21"/>
        </w:rPr>
        <w:t>49</w:t>
      </w:r>
      <w:r w:rsidRPr="007F51B2">
        <w:rPr>
          <w:rFonts w:ascii="宋体" w:hAnsi="宋体" w:hint="eastAsia"/>
          <w:szCs w:val="21"/>
        </w:rPr>
        <w:t>：20</w:t>
      </w:r>
      <w:r w:rsidRPr="007F51B2">
        <w:rPr>
          <w:rFonts w:ascii="宋体" w:hAnsi="宋体"/>
          <w:szCs w:val="21"/>
        </w:rPr>
        <w:t>24</w:t>
      </w:r>
      <w:r w:rsidRPr="007F51B2">
        <w:rPr>
          <w:rFonts w:ascii="宋体" w:hAnsi="宋体" w:hint="eastAsia"/>
          <w:szCs w:val="21"/>
        </w:rPr>
        <w:t>《爆炸性环境 第</w:t>
      </w:r>
      <w:r w:rsidRPr="007F51B2">
        <w:rPr>
          <w:rFonts w:ascii="宋体" w:hAnsi="宋体"/>
          <w:szCs w:val="21"/>
        </w:rPr>
        <w:t>49</w:t>
      </w:r>
      <w:r w:rsidRPr="007F51B2">
        <w:rPr>
          <w:rFonts w:ascii="宋体" w:hAnsi="宋体" w:hint="eastAsia"/>
          <w:szCs w:val="21"/>
        </w:rPr>
        <w:t>部分：阻火器</w:t>
      </w:r>
      <w:r w:rsidRPr="007F51B2">
        <w:rPr>
          <w:rFonts w:ascii="宋体" w:hAnsi="宋体"/>
          <w:szCs w:val="21"/>
        </w:rPr>
        <w:t xml:space="preserve"> </w:t>
      </w:r>
      <w:r w:rsidRPr="007F51B2">
        <w:rPr>
          <w:rFonts w:ascii="宋体" w:hAnsi="宋体" w:hint="eastAsia"/>
          <w:szCs w:val="21"/>
        </w:rPr>
        <w:t>性能要求、</w:t>
      </w:r>
      <w:r w:rsidRPr="00560DE4">
        <w:rPr>
          <w:rFonts w:ascii="宋体" w:hAnsi="宋体" w:hint="eastAsia"/>
          <w:szCs w:val="21"/>
        </w:rPr>
        <w:t>试验方法和使用限制》</w:t>
      </w:r>
      <w:r w:rsidR="006C1CD8" w:rsidRPr="00560DE4">
        <w:rPr>
          <w:rFonts w:ascii="宋体" w:hAnsi="宋体" w:hint="eastAsia"/>
          <w:szCs w:val="21"/>
        </w:rPr>
        <w:t>。</w:t>
      </w:r>
    </w:p>
    <w:p w14:paraId="55B1FD6C" w14:textId="274B6C40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本文件与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相</w:t>
      </w:r>
      <w:r w:rsidRPr="00560DE4">
        <w:rPr>
          <w:rFonts w:ascii="宋体" w:hAnsi="宋体"/>
          <w:kern w:val="0"/>
          <w:szCs w:val="21"/>
        </w:rPr>
        <w:t>比做了</w:t>
      </w:r>
      <w:r w:rsidRPr="00560DE4">
        <w:rPr>
          <w:rFonts w:ascii="宋体" w:hAnsi="宋体" w:hint="eastAsia"/>
          <w:kern w:val="0"/>
          <w:szCs w:val="21"/>
        </w:rPr>
        <w:t>下</w:t>
      </w:r>
      <w:r w:rsidRPr="00560DE4">
        <w:rPr>
          <w:rFonts w:ascii="宋体" w:hAnsi="宋体"/>
          <w:kern w:val="0"/>
          <w:szCs w:val="21"/>
        </w:rPr>
        <w:t>述结构调整</w:t>
      </w:r>
      <w:r w:rsidRPr="00560DE4">
        <w:rPr>
          <w:rFonts w:ascii="宋体" w:hAnsi="宋体" w:hint="eastAsia"/>
          <w:kern w:val="0"/>
          <w:szCs w:val="21"/>
        </w:rPr>
        <w:t>：</w:t>
      </w:r>
    </w:p>
    <w:p w14:paraId="2853F9B8" w14:textId="3E13C100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——附录</w:t>
      </w:r>
      <w:r w:rsidRPr="00560DE4">
        <w:rPr>
          <w:rFonts w:ascii="宋体" w:hAnsi="宋体"/>
          <w:kern w:val="0"/>
          <w:szCs w:val="21"/>
        </w:rPr>
        <w:t>A</w:t>
      </w:r>
      <w:r w:rsidRPr="00560DE4">
        <w:rPr>
          <w:rFonts w:ascii="宋体" w:hAnsi="宋体" w:hint="eastAsia"/>
          <w:kern w:val="0"/>
          <w:szCs w:val="21"/>
        </w:rPr>
        <w:t>对应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的附录</w:t>
      </w:r>
      <w:r w:rsidR="00D540C3" w:rsidRPr="00560DE4">
        <w:rPr>
          <w:rFonts w:ascii="宋体" w:hAnsi="宋体" w:hint="eastAsia"/>
          <w:kern w:val="0"/>
          <w:szCs w:val="21"/>
        </w:rPr>
        <w:t>E</w:t>
      </w:r>
      <w:r w:rsidRPr="00560DE4">
        <w:rPr>
          <w:rFonts w:ascii="宋体" w:hAnsi="宋体" w:hint="eastAsia"/>
          <w:kern w:val="0"/>
          <w:szCs w:val="21"/>
        </w:rPr>
        <w:t>；</w:t>
      </w:r>
    </w:p>
    <w:p w14:paraId="389FC762" w14:textId="450D9638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——附录</w:t>
      </w:r>
      <w:r w:rsidRPr="00560DE4">
        <w:rPr>
          <w:rFonts w:ascii="宋体" w:hAnsi="宋体"/>
          <w:kern w:val="0"/>
          <w:szCs w:val="21"/>
        </w:rPr>
        <w:t>B</w:t>
      </w:r>
      <w:r w:rsidRPr="00560DE4">
        <w:rPr>
          <w:rFonts w:ascii="宋体" w:hAnsi="宋体" w:hint="eastAsia"/>
          <w:kern w:val="0"/>
          <w:szCs w:val="21"/>
        </w:rPr>
        <w:t>对应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的附录</w:t>
      </w:r>
      <w:r w:rsidR="00D540C3" w:rsidRPr="00560DE4">
        <w:rPr>
          <w:rFonts w:ascii="宋体" w:hAnsi="宋体" w:hint="eastAsia"/>
          <w:kern w:val="0"/>
          <w:szCs w:val="21"/>
        </w:rPr>
        <w:t>A</w:t>
      </w:r>
      <w:r w:rsidRPr="00560DE4">
        <w:rPr>
          <w:rFonts w:ascii="宋体" w:hAnsi="宋体" w:hint="eastAsia"/>
          <w:kern w:val="0"/>
          <w:szCs w:val="21"/>
        </w:rPr>
        <w:t>；</w:t>
      </w:r>
    </w:p>
    <w:p w14:paraId="64B0D5A3" w14:textId="5CC5373D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——附录</w:t>
      </w:r>
      <w:r w:rsidRPr="00560DE4">
        <w:rPr>
          <w:rFonts w:ascii="宋体" w:hAnsi="宋体"/>
          <w:kern w:val="0"/>
          <w:szCs w:val="21"/>
        </w:rPr>
        <w:t>C</w:t>
      </w:r>
      <w:r w:rsidRPr="00560DE4">
        <w:rPr>
          <w:rFonts w:ascii="宋体" w:hAnsi="宋体" w:hint="eastAsia"/>
          <w:kern w:val="0"/>
          <w:szCs w:val="21"/>
        </w:rPr>
        <w:t>对应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的附录</w:t>
      </w:r>
      <w:r w:rsidR="00D540C3" w:rsidRPr="00560DE4">
        <w:rPr>
          <w:rFonts w:ascii="宋体" w:hAnsi="宋体" w:hint="eastAsia"/>
          <w:kern w:val="0"/>
          <w:szCs w:val="21"/>
        </w:rPr>
        <w:t>D</w:t>
      </w:r>
      <w:r w:rsidRPr="00560DE4">
        <w:rPr>
          <w:rFonts w:ascii="宋体" w:hAnsi="宋体" w:hint="eastAsia"/>
          <w:kern w:val="0"/>
          <w:szCs w:val="21"/>
        </w:rPr>
        <w:t>；</w:t>
      </w:r>
    </w:p>
    <w:p w14:paraId="6F00C2A7" w14:textId="15A5F855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——附录</w:t>
      </w:r>
      <w:r w:rsidRPr="00560DE4">
        <w:rPr>
          <w:rFonts w:ascii="宋体" w:hAnsi="宋体"/>
          <w:kern w:val="0"/>
          <w:szCs w:val="21"/>
        </w:rPr>
        <w:t>D</w:t>
      </w:r>
      <w:r w:rsidRPr="00560DE4">
        <w:rPr>
          <w:rFonts w:ascii="宋体" w:hAnsi="宋体" w:hint="eastAsia"/>
          <w:kern w:val="0"/>
          <w:szCs w:val="21"/>
        </w:rPr>
        <w:t>对应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的附录</w:t>
      </w:r>
      <w:r w:rsidR="00D540C3" w:rsidRPr="00560DE4">
        <w:rPr>
          <w:rFonts w:ascii="宋体" w:hAnsi="宋体" w:hint="eastAsia"/>
          <w:kern w:val="0"/>
          <w:szCs w:val="21"/>
        </w:rPr>
        <w:t>B</w:t>
      </w:r>
      <w:r w:rsidRPr="00560DE4">
        <w:rPr>
          <w:rFonts w:ascii="宋体" w:hAnsi="宋体" w:hint="eastAsia"/>
          <w:kern w:val="0"/>
          <w:szCs w:val="21"/>
        </w:rPr>
        <w:t>；</w:t>
      </w:r>
    </w:p>
    <w:p w14:paraId="6466219D" w14:textId="6F53CEEF" w:rsidR="007F51B2" w:rsidRPr="00560DE4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szCs w:val="21"/>
        </w:rPr>
      </w:pPr>
      <w:r w:rsidRPr="00560DE4">
        <w:rPr>
          <w:rFonts w:ascii="宋体" w:hAnsi="宋体" w:hint="eastAsia"/>
          <w:kern w:val="0"/>
          <w:szCs w:val="21"/>
        </w:rPr>
        <w:t>——附录</w:t>
      </w:r>
      <w:r w:rsidRPr="00560DE4">
        <w:rPr>
          <w:rFonts w:ascii="宋体" w:hAnsi="宋体"/>
          <w:kern w:val="0"/>
          <w:szCs w:val="21"/>
        </w:rPr>
        <w:t>E</w:t>
      </w:r>
      <w:r w:rsidRPr="00560DE4">
        <w:rPr>
          <w:rFonts w:ascii="宋体" w:hAnsi="宋体" w:hint="eastAsia"/>
          <w:kern w:val="0"/>
          <w:szCs w:val="21"/>
        </w:rPr>
        <w:t>对应</w:t>
      </w:r>
      <w:r w:rsidRPr="00560DE4">
        <w:rPr>
          <w:rFonts w:ascii="宋体" w:hAnsi="宋体"/>
          <w:kern w:val="0"/>
          <w:szCs w:val="21"/>
        </w:rPr>
        <w:t>ISO/IEC 80079</w:t>
      </w:r>
      <w:r w:rsidRPr="00560DE4">
        <w:rPr>
          <w:rFonts w:ascii="宋体" w:hAnsi="宋体" w:hint="eastAsia"/>
          <w:kern w:val="0"/>
          <w:szCs w:val="21"/>
        </w:rPr>
        <w:t>-</w:t>
      </w:r>
      <w:r w:rsidRPr="00560DE4">
        <w:rPr>
          <w:rFonts w:ascii="宋体" w:hAnsi="宋体"/>
          <w:kern w:val="0"/>
          <w:szCs w:val="21"/>
        </w:rPr>
        <w:t>49</w:t>
      </w:r>
      <w:r w:rsidRPr="00560DE4">
        <w:rPr>
          <w:rFonts w:ascii="宋体" w:hAnsi="宋体" w:hint="eastAsia"/>
          <w:kern w:val="0"/>
          <w:szCs w:val="21"/>
        </w:rPr>
        <w:t>：20</w:t>
      </w:r>
      <w:r w:rsidRPr="00560DE4">
        <w:rPr>
          <w:rFonts w:ascii="宋体" w:hAnsi="宋体"/>
          <w:kern w:val="0"/>
          <w:szCs w:val="21"/>
        </w:rPr>
        <w:t>24</w:t>
      </w:r>
      <w:r w:rsidRPr="00560DE4">
        <w:rPr>
          <w:rFonts w:ascii="宋体" w:hAnsi="宋体" w:hint="eastAsia"/>
          <w:kern w:val="0"/>
          <w:szCs w:val="21"/>
        </w:rPr>
        <w:t>的附录</w:t>
      </w:r>
      <w:r w:rsidR="00D540C3" w:rsidRPr="00560DE4">
        <w:rPr>
          <w:rFonts w:ascii="宋体" w:hAnsi="宋体" w:hint="eastAsia"/>
          <w:kern w:val="0"/>
          <w:szCs w:val="21"/>
        </w:rPr>
        <w:t>C</w:t>
      </w:r>
      <w:r w:rsidRPr="00560DE4">
        <w:rPr>
          <w:rFonts w:ascii="宋体" w:hAnsi="宋体" w:hint="eastAsia"/>
          <w:kern w:val="0"/>
          <w:szCs w:val="21"/>
        </w:rPr>
        <w:t>。</w:t>
      </w:r>
    </w:p>
    <w:p w14:paraId="5A99322E" w14:textId="6C90C1F0" w:rsidR="000F005A" w:rsidRPr="007F51B2" w:rsidRDefault="007F51B2" w:rsidP="007F51B2">
      <w:pPr>
        <w:spacing w:line="276" w:lineRule="auto"/>
        <w:ind w:firstLineChars="200" w:firstLine="420"/>
        <w:jc w:val="left"/>
        <w:rPr>
          <w:rFonts w:ascii="宋体" w:hAnsi="宋体"/>
          <w:kern w:val="0"/>
          <w:szCs w:val="21"/>
        </w:rPr>
      </w:pPr>
      <w:r w:rsidRPr="007F51B2">
        <w:rPr>
          <w:rFonts w:ascii="宋体" w:hAnsi="宋体" w:hint="eastAsia"/>
          <w:szCs w:val="21"/>
        </w:rPr>
        <w:t>本标准</w:t>
      </w:r>
      <w:r w:rsidR="006C1CD8" w:rsidRPr="007F51B2">
        <w:rPr>
          <w:rFonts w:ascii="宋体" w:hAnsi="宋体" w:hint="eastAsia"/>
          <w:kern w:val="0"/>
          <w:szCs w:val="21"/>
        </w:rPr>
        <w:t>与</w:t>
      </w:r>
      <w:r w:rsidRPr="007F51B2">
        <w:rPr>
          <w:rFonts w:ascii="宋体" w:hAnsi="宋体"/>
          <w:szCs w:val="21"/>
        </w:rPr>
        <w:t>ISO/IEC 80079</w:t>
      </w:r>
      <w:r w:rsidRPr="007F51B2">
        <w:rPr>
          <w:rFonts w:ascii="宋体" w:hAnsi="宋体" w:hint="eastAsia"/>
          <w:szCs w:val="21"/>
        </w:rPr>
        <w:t>-</w:t>
      </w:r>
      <w:r w:rsidRPr="007F51B2">
        <w:rPr>
          <w:rFonts w:ascii="宋体" w:hAnsi="宋体"/>
          <w:szCs w:val="21"/>
        </w:rPr>
        <w:t>49</w:t>
      </w:r>
      <w:r w:rsidRPr="007F51B2">
        <w:rPr>
          <w:rFonts w:ascii="宋体" w:hAnsi="宋体" w:hint="eastAsia"/>
          <w:szCs w:val="21"/>
        </w:rPr>
        <w:t>：20</w:t>
      </w:r>
      <w:r w:rsidRPr="007F51B2">
        <w:rPr>
          <w:rFonts w:ascii="宋体" w:hAnsi="宋体"/>
          <w:szCs w:val="21"/>
        </w:rPr>
        <w:t>24</w:t>
      </w:r>
      <w:r w:rsidR="006C1CD8" w:rsidRPr="007F51B2">
        <w:rPr>
          <w:rFonts w:ascii="宋体" w:hAnsi="宋体" w:hint="eastAsia"/>
          <w:kern w:val="0"/>
          <w:szCs w:val="21"/>
        </w:rPr>
        <w:t>的技术性差异及其原因如下：</w:t>
      </w:r>
    </w:p>
    <w:p w14:paraId="492EECFF" w14:textId="26BF24B9" w:rsidR="007F51B2" w:rsidRPr="007F51B2" w:rsidRDefault="006C1CD8" w:rsidP="007F51B2">
      <w:pPr>
        <w:pStyle w:val="af0"/>
        <w:widowControl w:val="0"/>
        <w:spacing w:line="276" w:lineRule="auto"/>
        <w:ind w:leftChars="200" w:left="840" w:hangingChars="200" w:hanging="420"/>
        <w:rPr>
          <w:rFonts w:hAnsi="宋体"/>
          <w:szCs w:val="21"/>
        </w:rPr>
      </w:pPr>
      <w:r w:rsidRPr="007F51B2">
        <w:rPr>
          <w:rFonts w:hAnsi="宋体" w:hint="eastAsia"/>
          <w:szCs w:val="21"/>
        </w:rPr>
        <w:lastRenderedPageBreak/>
        <w:t>——</w:t>
      </w:r>
      <w:r w:rsidR="007F51B2" w:rsidRPr="007F51B2">
        <w:rPr>
          <w:rFonts w:hAnsi="宋体" w:hint="eastAsia"/>
          <w:szCs w:val="21"/>
        </w:rPr>
        <w:t>用规范性引用的GB/T 3836.1替换了IEC 60079-0（见第3章），以适应我国的技术条件、增加可操作。</w:t>
      </w:r>
    </w:p>
    <w:p w14:paraId="2846DE29" w14:textId="77777777" w:rsidR="007F51B2" w:rsidRPr="007F51B2" w:rsidRDefault="007F51B2" w:rsidP="007F51B2">
      <w:pPr>
        <w:pStyle w:val="af0"/>
        <w:widowControl w:val="0"/>
        <w:spacing w:line="276" w:lineRule="auto"/>
        <w:ind w:leftChars="200" w:left="840" w:hangingChars="200" w:hanging="420"/>
        <w:rPr>
          <w:rFonts w:hAnsi="宋体"/>
          <w:szCs w:val="21"/>
        </w:rPr>
      </w:pPr>
      <w:r w:rsidRPr="007F51B2">
        <w:rPr>
          <w:rFonts w:hAnsi="宋体" w:hint="eastAsia"/>
          <w:szCs w:val="21"/>
        </w:rPr>
        <w:t>——用规范性引用的GB/T 3836.</w:t>
      </w:r>
      <w:r w:rsidRPr="007F51B2">
        <w:rPr>
          <w:rFonts w:hAnsi="宋体"/>
          <w:szCs w:val="21"/>
        </w:rPr>
        <w:t>2</w:t>
      </w:r>
      <w:r w:rsidRPr="007F51B2">
        <w:rPr>
          <w:rFonts w:hAnsi="宋体" w:hint="eastAsia"/>
          <w:szCs w:val="21"/>
        </w:rPr>
        <w:t>替换了</w:t>
      </w:r>
      <w:r w:rsidRPr="007F51B2">
        <w:rPr>
          <w:rFonts w:hAnsi="宋体" w:cs="宋体" w:hint="eastAsia"/>
          <w:szCs w:val="21"/>
        </w:rPr>
        <w:t>IEC 60079-1</w:t>
      </w:r>
      <w:r w:rsidRPr="007F51B2">
        <w:rPr>
          <w:rFonts w:hAnsi="宋体" w:hint="eastAsia"/>
          <w:szCs w:val="21"/>
        </w:rPr>
        <w:t>（见1</w:t>
      </w:r>
      <w:r w:rsidRPr="007F51B2">
        <w:rPr>
          <w:rFonts w:hAnsi="宋体"/>
          <w:szCs w:val="21"/>
        </w:rPr>
        <w:t>4.2</w:t>
      </w:r>
      <w:r w:rsidRPr="007F51B2">
        <w:rPr>
          <w:rFonts w:hAnsi="宋体" w:hint="eastAsia"/>
          <w:szCs w:val="21"/>
        </w:rPr>
        <w:t>），以适应我国的技术条件、增加可操作。</w:t>
      </w:r>
    </w:p>
    <w:p w14:paraId="41C59779" w14:textId="77777777" w:rsidR="007F51B2" w:rsidRPr="007F51B2" w:rsidRDefault="007F51B2" w:rsidP="007F51B2">
      <w:pPr>
        <w:pStyle w:val="af0"/>
        <w:widowControl w:val="0"/>
        <w:spacing w:line="276" w:lineRule="auto"/>
        <w:ind w:leftChars="200" w:left="840" w:hangingChars="200" w:hanging="420"/>
        <w:rPr>
          <w:rFonts w:hAnsi="宋体"/>
          <w:szCs w:val="21"/>
        </w:rPr>
      </w:pPr>
      <w:r w:rsidRPr="007F51B2">
        <w:rPr>
          <w:rFonts w:hAnsi="宋体" w:hint="eastAsia"/>
          <w:szCs w:val="21"/>
        </w:rPr>
        <w:t>——用规范性引用的</w:t>
      </w:r>
      <w:r w:rsidRPr="007F51B2">
        <w:rPr>
          <w:rFonts w:hAnsi="宋体" w:cs="宋体" w:hint="eastAsia"/>
          <w:szCs w:val="21"/>
        </w:rPr>
        <w:t>GB/T 3836.2</w:t>
      </w:r>
      <w:r w:rsidRPr="007F51B2">
        <w:rPr>
          <w:rFonts w:hAnsi="宋体" w:cs="宋体"/>
          <w:szCs w:val="21"/>
        </w:rPr>
        <w:t>1</w:t>
      </w:r>
      <w:r w:rsidRPr="007F51B2">
        <w:rPr>
          <w:rFonts w:hAnsi="宋体" w:hint="eastAsia"/>
          <w:szCs w:val="21"/>
        </w:rPr>
        <w:t>替换了</w:t>
      </w:r>
      <w:r w:rsidRPr="007F51B2">
        <w:rPr>
          <w:rFonts w:hAnsi="宋体" w:cs="宋体"/>
          <w:szCs w:val="21"/>
        </w:rPr>
        <w:t>ISO/IEC 80079-34</w:t>
      </w:r>
      <w:r w:rsidRPr="007F51B2">
        <w:rPr>
          <w:rFonts w:hAnsi="宋体" w:hint="eastAsia"/>
          <w:szCs w:val="21"/>
        </w:rPr>
        <w:t>（见1</w:t>
      </w:r>
      <w:r w:rsidRPr="007F51B2">
        <w:rPr>
          <w:rFonts w:hAnsi="宋体"/>
          <w:szCs w:val="21"/>
        </w:rPr>
        <w:t>4.1</w:t>
      </w:r>
      <w:r w:rsidRPr="007F51B2">
        <w:rPr>
          <w:rFonts w:hAnsi="宋体" w:hint="eastAsia"/>
          <w:szCs w:val="21"/>
        </w:rPr>
        <w:t>），以适应我国的技术条件、增加可操作。</w:t>
      </w:r>
    </w:p>
    <w:p w14:paraId="5F7BF674" w14:textId="2D32DA23" w:rsidR="000F005A" w:rsidRPr="007F51B2" w:rsidRDefault="006C1CD8" w:rsidP="007F51B2">
      <w:pPr>
        <w:autoSpaceDE w:val="0"/>
        <w:autoSpaceDN w:val="0"/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本</w:t>
      </w:r>
      <w:r w:rsidR="007F51B2" w:rsidRPr="007F51B2">
        <w:rPr>
          <w:rFonts w:ascii="宋体" w:hAnsi="宋体" w:hint="eastAsia"/>
          <w:szCs w:val="21"/>
        </w:rPr>
        <w:t>标准</w:t>
      </w:r>
      <w:r w:rsidRPr="007F51B2">
        <w:rPr>
          <w:rFonts w:ascii="宋体" w:hAnsi="宋体" w:hint="eastAsia"/>
          <w:szCs w:val="21"/>
        </w:rPr>
        <w:t>做了下列编辑性修改：</w:t>
      </w:r>
    </w:p>
    <w:p w14:paraId="4ECB1A18" w14:textId="5C8BF14A" w:rsidR="000F005A" w:rsidRDefault="006C1CD8" w:rsidP="007F51B2">
      <w:pPr>
        <w:autoSpaceDE w:val="0"/>
        <w:autoSpaceDN w:val="0"/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——</w:t>
      </w:r>
      <w:r w:rsidRPr="007F51B2">
        <w:rPr>
          <w:rFonts w:ascii="宋体" w:hAnsi="宋体" w:cs="宋体" w:hint="eastAsia"/>
          <w:szCs w:val="21"/>
        </w:rPr>
        <w:t>为与现有</w:t>
      </w:r>
      <w:r w:rsidRPr="007F51B2">
        <w:rPr>
          <w:rFonts w:ascii="宋体" w:hAnsi="宋体" w:cs="宋体"/>
          <w:szCs w:val="21"/>
        </w:rPr>
        <w:t>标准系列一致，</w:t>
      </w:r>
      <w:r w:rsidRPr="007F51B2">
        <w:rPr>
          <w:rFonts w:ascii="宋体" w:hAnsi="宋体" w:cs="宋体" w:hint="eastAsia"/>
          <w:szCs w:val="21"/>
        </w:rPr>
        <w:t>将</w:t>
      </w:r>
      <w:r w:rsidR="007F51B2" w:rsidRPr="007F51B2">
        <w:rPr>
          <w:rFonts w:ascii="宋体" w:hAnsi="宋体" w:cs="宋体"/>
          <w:szCs w:val="21"/>
        </w:rPr>
        <w:t>本标准</w:t>
      </w:r>
      <w:r w:rsidRPr="007F51B2">
        <w:rPr>
          <w:rFonts w:ascii="宋体" w:hAnsi="宋体" w:cs="宋体"/>
          <w:szCs w:val="21"/>
        </w:rPr>
        <w:t>名称</w:t>
      </w:r>
      <w:r w:rsidRPr="007F51B2">
        <w:rPr>
          <w:rFonts w:ascii="宋体" w:hAnsi="宋体" w:hint="eastAsia"/>
          <w:szCs w:val="21"/>
        </w:rPr>
        <w:t>更</w:t>
      </w:r>
      <w:r w:rsidRPr="007F51B2">
        <w:rPr>
          <w:rFonts w:ascii="宋体" w:hAnsi="宋体" w:cs="宋体" w:hint="eastAsia"/>
          <w:szCs w:val="21"/>
        </w:rPr>
        <w:t>改</w:t>
      </w:r>
      <w:r w:rsidRPr="007F51B2">
        <w:rPr>
          <w:rFonts w:ascii="宋体" w:hAnsi="宋体" w:cs="宋体"/>
          <w:szCs w:val="21"/>
        </w:rPr>
        <w:t>为</w:t>
      </w:r>
      <w:r w:rsidRPr="007F51B2">
        <w:rPr>
          <w:rFonts w:ascii="宋体" w:hAnsi="宋体"/>
          <w:szCs w:val="21"/>
        </w:rPr>
        <w:t>《</w:t>
      </w:r>
      <w:r w:rsidR="007F51B2" w:rsidRPr="007F51B2">
        <w:rPr>
          <w:rFonts w:ascii="宋体" w:hAnsi="宋体" w:hint="eastAsia"/>
          <w:szCs w:val="21"/>
        </w:rPr>
        <w:t>爆炸性环境 第</w:t>
      </w:r>
      <w:r w:rsidR="007F51B2" w:rsidRPr="007F51B2">
        <w:rPr>
          <w:rFonts w:ascii="宋体" w:hAnsi="宋体"/>
          <w:szCs w:val="21"/>
        </w:rPr>
        <w:t>39</w:t>
      </w:r>
      <w:r w:rsidR="007F51B2" w:rsidRPr="007F51B2">
        <w:rPr>
          <w:rFonts w:ascii="宋体" w:hAnsi="宋体" w:hint="eastAsia"/>
          <w:szCs w:val="21"/>
        </w:rPr>
        <w:t xml:space="preserve">部分：阻火器 </w:t>
      </w:r>
      <w:r w:rsidR="007F51B2" w:rsidRPr="007F51B2">
        <w:rPr>
          <w:rFonts w:ascii="宋体" w:hAnsi="宋体"/>
          <w:szCs w:val="21"/>
        </w:rPr>
        <w:t xml:space="preserve"> </w:t>
      </w:r>
      <w:r w:rsidR="007F51B2" w:rsidRPr="007F51B2">
        <w:rPr>
          <w:rFonts w:ascii="宋体" w:hAnsi="宋体" w:hint="eastAsia"/>
          <w:szCs w:val="21"/>
        </w:rPr>
        <w:t>性能要求、试验方法和使用限制</w:t>
      </w:r>
      <w:r w:rsidRPr="007F51B2">
        <w:rPr>
          <w:rFonts w:ascii="宋体" w:hAnsi="宋体"/>
          <w:szCs w:val="21"/>
        </w:rPr>
        <w:t>》</w:t>
      </w:r>
      <w:r w:rsidRPr="007F51B2">
        <w:rPr>
          <w:rFonts w:ascii="宋体" w:hAnsi="宋体" w:hint="eastAsia"/>
          <w:szCs w:val="21"/>
        </w:rPr>
        <w:t>；</w:t>
      </w:r>
    </w:p>
    <w:p w14:paraId="7FB49685" w14:textId="6E9B7E1D" w:rsidR="006F3741" w:rsidRPr="007F51B2" w:rsidRDefault="006F3741" w:rsidP="007F51B2">
      <w:pPr>
        <w:autoSpaceDE w:val="0"/>
        <w:autoSpaceDN w:val="0"/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——</w:t>
      </w:r>
      <w:r>
        <w:rPr>
          <w:rFonts w:ascii="宋体" w:hAnsi="宋体" w:hint="eastAsia"/>
          <w:szCs w:val="21"/>
        </w:rPr>
        <w:t>删除了1</w:t>
      </w:r>
      <w:r>
        <w:rPr>
          <w:rFonts w:ascii="宋体" w:hAnsi="宋体"/>
          <w:szCs w:val="21"/>
        </w:rPr>
        <w:t>2.3.1</w:t>
      </w:r>
      <w:r>
        <w:rPr>
          <w:rFonts w:ascii="宋体" w:hAnsi="宋体" w:hint="eastAsia"/>
          <w:szCs w:val="21"/>
        </w:rPr>
        <w:t>中关于证书标志中分</w:t>
      </w:r>
      <w:r w:rsidRPr="006F3741">
        <w:rPr>
          <w:rFonts w:ascii="宋体" w:hAnsi="宋体"/>
          <w:szCs w:val="21"/>
        </w:rPr>
        <w:t>分隔符</w:t>
      </w:r>
      <w:r>
        <w:rPr>
          <w:rFonts w:ascii="宋体" w:hAnsi="宋体" w:hint="eastAsia"/>
          <w:szCs w:val="21"/>
        </w:rPr>
        <w:t>的注释；</w:t>
      </w:r>
    </w:p>
    <w:p w14:paraId="26ADE72E" w14:textId="77777777" w:rsidR="000F005A" w:rsidRPr="007F51B2" w:rsidRDefault="006C1CD8" w:rsidP="007F51B2">
      <w:pPr>
        <w:numPr>
          <w:ilvl w:val="0"/>
          <w:numId w:val="3"/>
        </w:numPr>
        <w:spacing w:line="276" w:lineRule="auto"/>
        <w:ind w:leftChars="200" w:left="840" w:hangingChars="200" w:hanging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——用我国文件替换了资料性引用的国际文件，并修</w:t>
      </w:r>
      <w:r w:rsidRPr="007F51B2">
        <w:rPr>
          <w:rFonts w:ascii="宋体" w:hAnsi="宋体"/>
          <w:szCs w:val="21"/>
        </w:rPr>
        <w:t>改了参考文献。</w:t>
      </w:r>
    </w:p>
    <w:p w14:paraId="385F7F1D" w14:textId="77777777" w:rsidR="000F005A" w:rsidRPr="007F51B2" w:rsidRDefault="006C1CD8" w:rsidP="007F51B2">
      <w:pPr>
        <w:spacing w:before="156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四、</w:t>
      </w:r>
      <w:r w:rsidRPr="007F51B2">
        <w:rPr>
          <w:rFonts w:ascii="宋体" w:hAnsi="宋体"/>
          <w:b/>
          <w:bCs/>
          <w:kern w:val="0"/>
          <w:szCs w:val="21"/>
        </w:rPr>
        <w:t>主要试验（或验证）的分析</w:t>
      </w:r>
    </w:p>
    <w:p w14:paraId="779FBFD4" w14:textId="171B2AF6" w:rsidR="000F005A" w:rsidRPr="007F51B2" w:rsidRDefault="007F51B2" w:rsidP="007F51B2">
      <w:pPr>
        <w:spacing w:line="276" w:lineRule="auto"/>
        <w:ind w:firstLine="420"/>
        <w:rPr>
          <w:rFonts w:ascii="宋体" w:hAnsi="宋体"/>
          <w:szCs w:val="21"/>
        </w:rPr>
      </w:pPr>
      <w:r w:rsidRPr="007F51B2">
        <w:rPr>
          <w:rFonts w:ascii="宋体" w:hAnsi="宋体" w:hint="eastAsia"/>
          <w:szCs w:val="21"/>
        </w:rPr>
        <w:t>本标准为采标项目，</w:t>
      </w:r>
      <w:r w:rsidR="006C1CD8" w:rsidRPr="007F51B2">
        <w:rPr>
          <w:rFonts w:ascii="宋体" w:hAnsi="宋体" w:hint="eastAsia"/>
          <w:szCs w:val="21"/>
        </w:rPr>
        <w:t>主要</w:t>
      </w:r>
      <w:r w:rsidRPr="007F51B2">
        <w:rPr>
          <w:rFonts w:ascii="宋体" w:hAnsi="宋体" w:hint="eastAsia"/>
          <w:szCs w:val="21"/>
        </w:rPr>
        <w:t>技术</w:t>
      </w:r>
      <w:r w:rsidR="006C1CD8" w:rsidRPr="007F51B2">
        <w:rPr>
          <w:rFonts w:ascii="宋体" w:hAnsi="宋体" w:hint="eastAsia"/>
          <w:szCs w:val="21"/>
        </w:rPr>
        <w:t>内容与国际标准</w:t>
      </w:r>
      <w:r w:rsidRPr="007F51B2">
        <w:rPr>
          <w:rFonts w:ascii="宋体" w:hAnsi="宋体"/>
          <w:szCs w:val="21"/>
        </w:rPr>
        <w:t>ISO/IEC 80079</w:t>
      </w:r>
      <w:r w:rsidRPr="007F51B2">
        <w:rPr>
          <w:rFonts w:ascii="宋体" w:hAnsi="宋体" w:hint="eastAsia"/>
          <w:szCs w:val="21"/>
        </w:rPr>
        <w:t>-</w:t>
      </w:r>
      <w:r w:rsidRPr="007F51B2">
        <w:rPr>
          <w:rFonts w:ascii="宋体" w:hAnsi="宋体"/>
          <w:szCs w:val="21"/>
        </w:rPr>
        <w:t>49</w:t>
      </w:r>
      <w:r w:rsidRPr="007F51B2">
        <w:rPr>
          <w:rFonts w:ascii="宋体" w:hAnsi="宋体" w:hint="eastAsia"/>
          <w:szCs w:val="21"/>
        </w:rPr>
        <w:t>：20</w:t>
      </w:r>
      <w:r w:rsidRPr="007F51B2">
        <w:rPr>
          <w:rFonts w:ascii="宋体" w:hAnsi="宋体"/>
          <w:szCs w:val="21"/>
        </w:rPr>
        <w:t>24</w:t>
      </w:r>
      <w:r w:rsidRPr="007F51B2">
        <w:rPr>
          <w:rFonts w:ascii="宋体" w:hAnsi="宋体" w:hint="eastAsia"/>
          <w:szCs w:val="21"/>
        </w:rPr>
        <w:t>《爆炸性环境 第</w:t>
      </w:r>
      <w:r w:rsidRPr="007F51B2">
        <w:rPr>
          <w:rFonts w:ascii="宋体" w:hAnsi="宋体"/>
          <w:szCs w:val="21"/>
        </w:rPr>
        <w:t>49</w:t>
      </w:r>
      <w:r w:rsidRPr="007F51B2">
        <w:rPr>
          <w:rFonts w:ascii="宋体" w:hAnsi="宋体" w:hint="eastAsia"/>
          <w:szCs w:val="21"/>
        </w:rPr>
        <w:t>部分：阻火器</w:t>
      </w:r>
      <w:r w:rsidRPr="007F51B2">
        <w:rPr>
          <w:rFonts w:ascii="宋体" w:hAnsi="宋体"/>
          <w:szCs w:val="21"/>
        </w:rPr>
        <w:t xml:space="preserve"> </w:t>
      </w:r>
      <w:r w:rsidRPr="007F51B2">
        <w:rPr>
          <w:rFonts w:ascii="宋体" w:hAnsi="宋体" w:hint="eastAsia"/>
          <w:szCs w:val="21"/>
        </w:rPr>
        <w:t>性能要求、试验方法和使用限制》一致</w:t>
      </w:r>
      <w:r w:rsidR="006C1CD8" w:rsidRPr="007F51B2">
        <w:rPr>
          <w:rFonts w:ascii="宋体" w:hAnsi="宋体" w:hint="eastAsia"/>
          <w:szCs w:val="21"/>
        </w:rPr>
        <w:t>，与IEC技术规范相比，</w:t>
      </w:r>
      <w:r w:rsidRPr="007F51B2">
        <w:rPr>
          <w:rFonts w:ascii="宋体" w:hAnsi="宋体" w:hint="eastAsia"/>
          <w:szCs w:val="21"/>
        </w:rPr>
        <w:t>本标准</w:t>
      </w:r>
      <w:r w:rsidR="006C1CD8" w:rsidRPr="007F51B2">
        <w:rPr>
          <w:rFonts w:ascii="宋体" w:hAnsi="宋体" w:hint="eastAsia"/>
          <w:szCs w:val="21"/>
        </w:rPr>
        <w:t>对引用文件进行了修改，用采用国际标准的我国标准代替了原国际标准，与我国标准协调一致，适用我国的技术条件，更便于操作。不涉及试验验证。</w:t>
      </w:r>
    </w:p>
    <w:p w14:paraId="6F17FADC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五、</w:t>
      </w:r>
      <w:r w:rsidRPr="007F51B2">
        <w:rPr>
          <w:rFonts w:ascii="宋体" w:hAnsi="宋体"/>
          <w:b/>
          <w:bCs/>
          <w:kern w:val="0"/>
          <w:szCs w:val="21"/>
        </w:rPr>
        <w:t>与有关的现行法律、法规和强制性国家标准的关系</w:t>
      </w:r>
    </w:p>
    <w:p w14:paraId="0E5ED80F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本标准符合我国法律法规的规定，与强制性国家标准相协调。</w:t>
      </w:r>
    </w:p>
    <w:p w14:paraId="072F0C74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六、</w:t>
      </w:r>
      <w:r w:rsidRPr="007F51B2">
        <w:rPr>
          <w:rFonts w:ascii="宋体" w:hAnsi="宋体"/>
          <w:b/>
          <w:bCs/>
          <w:kern w:val="0"/>
          <w:szCs w:val="21"/>
        </w:rPr>
        <w:t>重大分歧意见的处理经过和依据</w:t>
      </w:r>
    </w:p>
    <w:p w14:paraId="4CBF8F2D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无。</w:t>
      </w:r>
    </w:p>
    <w:p w14:paraId="5D42E32E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七、</w:t>
      </w:r>
      <w:r w:rsidRPr="007F51B2">
        <w:rPr>
          <w:rFonts w:ascii="宋体" w:hAnsi="宋体"/>
          <w:b/>
          <w:bCs/>
          <w:kern w:val="0"/>
          <w:szCs w:val="21"/>
        </w:rPr>
        <w:t>作为推荐性国家标准的建议</w:t>
      </w:r>
    </w:p>
    <w:p w14:paraId="4059F26F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本标准采标IEC标准，建议作为</w:t>
      </w:r>
      <w:r w:rsidRPr="007F51B2">
        <w:rPr>
          <w:rFonts w:ascii="宋体" w:hAnsi="宋体" w:cs="Arial"/>
          <w:color w:val="333333"/>
          <w:kern w:val="0"/>
          <w:szCs w:val="21"/>
        </w:rPr>
        <w:t>推荐性国家标准</w:t>
      </w:r>
      <w:r w:rsidRPr="007F51B2">
        <w:rPr>
          <w:rFonts w:ascii="宋体" w:hAnsi="宋体" w:cs="Arial" w:hint="eastAsia"/>
          <w:color w:val="333333"/>
          <w:kern w:val="0"/>
          <w:szCs w:val="21"/>
        </w:rPr>
        <w:t>。</w:t>
      </w:r>
    </w:p>
    <w:p w14:paraId="69A2FF95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八、</w:t>
      </w:r>
      <w:r w:rsidRPr="007F51B2">
        <w:rPr>
          <w:rFonts w:ascii="宋体" w:hAnsi="宋体"/>
          <w:b/>
          <w:bCs/>
          <w:kern w:val="0"/>
          <w:szCs w:val="21"/>
        </w:rPr>
        <w:t>贯彻国家标准的要求和措施建议</w:t>
      </w:r>
    </w:p>
    <w:p w14:paraId="73491EF0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建议标委会制定宣贯计划，本标准批准后组织相关单位和人员进行宣贯。</w:t>
      </w:r>
    </w:p>
    <w:p w14:paraId="588519C9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hint="eastAsia"/>
          <w:szCs w:val="21"/>
        </w:rPr>
        <w:t>建议本标准发布后半年实施。</w:t>
      </w:r>
    </w:p>
    <w:p w14:paraId="5E33C0B6" w14:textId="77777777" w:rsidR="000F005A" w:rsidRPr="007F51B2" w:rsidRDefault="006C1CD8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九、</w:t>
      </w:r>
      <w:r w:rsidRPr="007F51B2">
        <w:rPr>
          <w:rFonts w:ascii="宋体" w:hAnsi="宋体"/>
          <w:b/>
          <w:bCs/>
          <w:kern w:val="0"/>
          <w:szCs w:val="21"/>
        </w:rPr>
        <w:t>废止现行有关标准的建议</w:t>
      </w:r>
    </w:p>
    <w:p w14:paraId="09533356" w14:textId="77777777" w:rsidR="000F005A" w:rsidRPr="007F51B2" w:rsidRDefault="006C1CD8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Style w:val="fontstyle01"/>
          <w:rFonts w:hint="default"/>
          <w:sz w:val="21"/>
          <w:szCs w:val="21"/>
        </w:rPr>
        <w:t>无。</w:t>
      </w:r>
    </w:p>
    <w:p w14:paraId="48B56E7B" w14:textId="0042E510" w:rsidR="00A21721" w:rsidRPr="007F51B2" w:rsidRDefault="00A21721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十、公平竞争审查</w:t>
      </w:r>
    </w:p>
    <w:p w14:paraId="735C4C88" w14:textId="3A59E921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202</w:t>
      </w:r>
      <w:r w:rsidR="007F51B2" w:rsidRPr="007F51B2">
        <w:rPr>
          <w:rFonts w:ascii="宋体" w:hAnsi="宋体" w:cs="Arial"/>
          <w:color w:val="333333"/>
          <w:kern w:val="0"/>
          <w:szCs w:val="21"/>
        </w:rPr>
        <w:t>6</w:t>
      </w:r>
      <w:r w:rsidRPr="007F51B2">
        <w:rPr>
          <w:rFonts w:ascii="宋体" w:hAnsi="宋体" w:cs="Arial" w:hint="eastAsia"/>
          <w:color w:val="333333"/>
          <w:kern w:val="0"/>
          <w:szCs w:val="21"/>
        </w:rPr>
        <w:t>年</w:t>
      </w:r>
      <w:r w:rsidR="004E72D0" w:rsidRPr="007F51B2">
        <w:rPr>
          <w:rFonts w:ascii="宋体" w:hAnsi="宋体" w:cs="Arial"/>
          <w:color w:val="333333"/>
          <w:kern w:val="0"/>
          <w:szCs w:val="21"/>
        </w:rPr>
        <w:t>8</w:t>
      </w:r>
      <w:r w:rsidRPr="007F51B2">
        <w:rPr>
          <w:rFonts w:ascii="宋体" w:hAnsi="宋体" w:cs="Arial" w:hint="eastAsia"/>
          <w:color w:val="333333"/>
          <w:kern w:val="0"/>
          <w:szCs w:val="21"/>
        </w:rPr>
        <w:t>月，按照国标委相关要求，开展了公平竞争审查，审查内容如下：</w:t>
      </w:r>
    </w:p>
    <w:p w14:paraId="36F0F42B" w14:textId="109AA053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1）是否限制或者变相限制市场准入和退出</w:t>
      </w:r>
      <w:r w:rsidR="004E72D0" w:rsidRPr="007F51B2">
        <w:rPr>
          <w:rFonts w:ascii="宋体" w:hAnsi="宋体" w:cs="Arial" w:hint="eastAsia"/>
          <w:color w:val="333333"/>
          <w:kern w:val="0"/>
          <w:szCs w:val="21"/>
        </w:rPr>
        <w:t>；</w:t>
      </w:r>
    </w:p>
    <w:p w14:paraId="54D3EBB6" w14:textId="23AB7785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2）是否限制或者变相限制商品要素自由流动</w:t>
      </w:r>
      <w:r w:rsidR="004E72D0" w:rsidRPr="007F51B2">
        <w:rPr>
          <w:rFonts w:ascii="宋体" w:hAnsi="宋体" w:cs="Arial" w:hint="eastAsia"/>
          <w:color w:val="333333"/>
          <w:kern w:val="0"/>
          <w:szCs w:val="21"/>
        </w:rPr>
        <w:t>；</w:t>
      </w:r>
    </w:p>
    <w:p w14:paraId="61069A01" w14:textId="7B91459F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3）是否影响经营者生产经营成本</w:t>
      </w:r>
      <w:r w:rsidR="004E72D0" w:rsidRPr="007F51B2">
        <w:rPr>
          <w:rFonts w:ascii="宋体" w:hAnsi="宋体" w:cs="Arial" w:hint="eastAsia"/>
          <w:color w:val="333333"/>
          <w:kern w:val="0"/>
          <w:szCs w:val="21"/>
        </w:rPr>
        <w:t>；</w:t>
      </w:r>
    </w:p>
    <w:p w14:paraId="554EFFFD" w14:textId="7A5C7FCB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4）是否影响经营者生产经营行为</w:t>
      </w:r>
      <w:r w:rsidR="004E72D0" w:rsidRPr="007F51B2">
        <w:rPr>
          <w:rFonts w:ascii="宋体" w:hAnsi="宋体" w:cs="Arial" w:hint="eastAsia"/>
          <w:color w:val="333333"/>
          <w:kern w:val="0"/>
          <w:szCs w:val="21"/>
        </w:rPr>
        <w:t>；</w:t>
      </w:r>
    </w:p>
    <w:p w14:paraId="52BF6EC4" w14:textId="77777777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lastRenderedPageBreak/>
        <w:t>5）是否适用《公平竞争审査条例》第十二条的规定。</w:t>
      </w:r>
    </w:p>
    <w:p w14:paraId="15093796" w14:textId="77777777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审查完成后，得出审查结论是：不会限制或者变相限制市场准入和退出；不会限制或者变相限制商品要素自由流动；不会影响经营者生产经营成本；不会影响经营者生产经营行为；不适用《公平竞争审查条例》第十二条的规定。并完成填写公平竞争审查表，形成盖章件上报。</w:t>
      </w:r>
    </w:p>
    <w:p w14:paraId="1FC47C1E" w14:textId="77777777" w:rsidR="00A21721" w:rsidRPr="007F51B2" w:rsidRDefault="00A21721" w:rsidP="007F51B2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7F51B2">
        <w:rPr>
          <w:rFonts w:ascii="宋体" w:hAnsi="宋体" w:hint="eastAsia"/>
          <w:b/>
          <w:bCs/>
          <w:kern w:val="0"/>
          <w:szCs w:val="21"/>
        </w:rPr>
        <w:t>十二、</w:t>
      </w:r>
      <w:r w:rsidRPr="007F51B2">
        <w:rPr>
          <w:rFonts w:ascii="宋体" w:hAnsi="宋体"/>
          <w:b/>
          <w:bCs/>
          <w:kern w:val="0"/>
          <w:szCs w:val="21"/>
        </w:rPr>
        <w:t>其他应予说明的事项</w:t>
      </w:r>
    </w:p>
    <w:p w14:paraId="4FDA5E71" w14:textId="29677CD7" w:rsidR="00A21721" w:rsidRPr="007F51B2" w:rsidRDefault="00A21721" w:rsidP="007F51B2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7F51B2">
        <w:rPr>
          <w:rFonts w:ascii="宋体" w:hAnsi="宋体" w:cs="Arial" w:hint="eastAsia"/>
          <w:color w:val="333333"/>
          <w:kern w:val="0"/>
          <w:szCs w:val="21"/>
        </w:rPr>
        <w:t>无</w:t>
      </w:r>
      <w:r w:rsidR="00952301" w:rsidRPr="007F51B2">
        <w:rPr>
          <w:rFonts w:ascii="宋体" w:hAnsi="宋体" w:cs="Arial" w:hint="eastAsia"/>
          <w:color w:val="333333"/>
          <w:kern w:val="0"/>
          <w:szCs w:val="21"/>
        </w:rPr>
        <w:t>。</w:t>
      </w:r>
    </w:p>
    <w:p w14:paraId="62211E6B" w14:textId="77777777" w:rsidR="000F005A" w:rsidRPr="007F51B2" w:rsidRDefault="000F005A" w:rsidP="007F51B2">
      <w:pPr>
        <w:spacing w:line="276" w:lineRule="auto"/>
        <w:rPr>
          <w:rFonts w:ascii="宋体" w:hAnsi="宋体" w:cs="宋体"/>
          <w:bCs/>
          <w:color w:val="000000"/>
          <w:kern w:val="0"/>
          <w:szCs w:val="21"/>
        </w:rPr>
      </w:pPr>
    </w:p>
    <w:p w14:paraId="76976E34" w14:textId="77777777" w:rsidR="000F005A" w:rsidRPr="007F51B2" w:rsidRDefault="000F005A" w:rsidP="007F51B2">
      <w:pPr>
        <w:spacing w:line="276" w:lineRule="auto"/>
        <w:rPr>
          <w:rFonts w:ascii="宋体" w:hAnsi="宋体" w:cs="宋体"/>
          <w:bCs/>
          <w:color w:val="000000"/>
          <w:kern w:val="0"/>
          <w:szCs w:val="21"/>
        </w:rPr>
      </w:pPr>
    </w:p>
    <w:p w14:paraId="1B904425" w14:textId="77777777" w:rsidR="000F005A" w:rsidRPr="007F51B2" w:rsidRDefault="006C1CD8" w:rsidP="007F51B2">
      <w:pPr>
        <w:widowControl/>
        <w:spacing w:line="276" w:lineRule="auto"/>
        <w:jc w:val="right"/>
        <w:rPr>
          <w:rFonts w:ascii="宋体" w:hAnsi="宋体" w:cs="宋体"/>
          <w:bCs/>
          <w:color w:val="000000"/>
          <w:kern w:val="0"/>
          <w:szCs w:val="21"/>
        </w:rPr>
      </w:pPr>
      <w:r w:rsidRPr="007F51B2">
        <w:rPr>
          <w:rFonts w:ascii="宋体" w:hAnsi="宋体" w:cs="宋体" w:hint="eastAsia"/>
          <w:bCs/>
          <w:color w:val="000000"/>
          <w:kern w:val="0"/>
          <w:szCs w:val="21"/>
        </w:rPr>
        <w:t>标准起</w:t>
      </w:r>
      <w:r w:rsidRPr="007F51B2">
        <w:rPr>
          <w:rFonts w:ascii="宋体" w:hAnsi="宋体" w:cs="宋体"/>
          <w:bCs/>
          <w:color w:val="000000"/>
          <w:kern w:val="0"/>
          <w:szCs w:val="21"/>
        </w:rPr>
        <w:t>草</w:t>
      </w:r>
      <w:r w:rsidRPr="007F51B2">
        <w:rPr>
          <w:rFonts w:ascii="宋体" w:hAnsi="宋体" w:cs="宋体" w:hint="eastAsia"/>
          <w:bCs/>
          <w:color w:val="000000"/>
          <w:kern w:val="0"/>
          <w:szCs w:val="21"/>
        </w:rPr>
        <w:t>工作</w:t>
      </w:r>
      <w:r w:rsidRPr="007F51B2">
        <w:rPr>
          <w:rFonts w:ascii="宋体" w:hAnsi="宋体" w:cs="宋体"/>
          <w:bCs/>
          <w:color w:val="000000"/>
          <w:kern w:val="0"/>
          <w:szCs w:val="21"/>
        </w:rPr>
        <w:t>组</w:t>
      </w:r>
    </w:p>
    <w:p w14:paraId="4DE5E484" w14:textId="5404044F" w:rsidR="000F005A" w:rsidRPr="007F51B2" w:rsidRDefault="006C1CD8" w:rsidP="007F51B2">
      <w:pPr>
        <w:widowControl/>
        <w:spacing w:line="276" w:lineRule="auto"/>
        <w:jc w:val="right"/>
        <w:rPr>
          <w:rFonts w:ascii="宋体" w:hAnsi="宋体" w:cs="宋体"/>
          <w:bCs/>
          <w:color w:val="000000"/>
          <w:kern w:val="0"/>
          <w:szCs w:val="21"/>
        </w:rPr>
      </w:pPr>
      <w:r w:rsidRPr="007F51B2">
        <w:rPr>
          <w:rFonts w:ascii="宋体" w:hAnsi="宋体" w:cs="宋体" w:hint="eastAsia"/>
          <w:bCs/>
          <w:color w:val="000000"/>
          <w:kern w:val="0"/>
          <w:szCs w:val="21"/>
        </w:rPr>
        <w:t>20</w:t>
      </w:r>
      <w:r w:rsidRPr="007F51B2">
        <w:rPr>
          <w:rFonts w:ascii="宋体" w:hAnsi="宋体" w:cs="宋体"/>
          <w:bCs/>
          <w:color w:val="000000"/>
          <w:kern w:val="0"/>
          <w:szCs w:val="21"/>
        </w:rPr>
        <w:t>2</w:t>
      </w:r>
      <w:r w:rsidR="007F51B2" w:rsidRPr="007F51B2">
        <w:rPr>
          <w:rFonts w:ascii="宋体" w:hAnsi="宋体" w:cs="宋体"/>
          <w:bCs/>
          <w:color w:val="000000"/>
          <w:kern w:val="0"/>
          <w:szCs w:val="21"/>
        </w:rPr>
        <w:t>6</w:t>
      </w:r>
      <w:r w:rsidRPr="007F51B2">
        <w:rPr>
          <w:rFonts w:ascii="宋体" w:hAnsi="宋体" w:cs="宋体" w:hint="eastAsia"/>
          <w:bCs/>
          <w:color w:val="000000"/>
          <w:kern w:val="0"/>
          <w:szCs w:val="21"/>
        </w:rPr>
        <w:t>年</w:t>
      </w:r>
      <w:r w:rsidR="002B7B67">
        <w:rPr>
          <w:rFonts w:ascii="宋体" w:hAnsi="宋体" w:cs="宋体"/>
          <w:bCs/>
          <w:color w:val="000000"/>
          <w:kern w:val="0"/>
          <w:szCs w:val="21"/>
        </w:rPr>
        <w:t>10</w:t>
      </w:r>
      <w:r w:rsidRPr="007F51B2">
        <w:rPr>
          <w:rFonts w:ascii="宋体" w:hAnsi="宋体" w:cs="宋体" w:hint="eastAsia"/>
          <w:bCs/>
          <w:color w:val="000000"/>
          <w:kern w:val="0"/>
          <w:szCs w:val="21"/>
        </w:rPr>
        <w:t>月</w:t>
      </w:r>
    </w:p>
    <w:p w14:paraId="227414E0" w14:textId="77777777" w:rsidR="000F005A" w:rsidRDefault="000F005A">
      <w:pPr>
        <w:widowControl/>
        <w:spacing w:line="276" w:lineRule="auto"/>
        <w:jc w:val="right"/>
        <w:rPr>
          <w:rFonts w:ascii="黑体" w:eastAsia="黑体" w:hAnsi="黑体" w:cs="宋体"/>
          <w:bCs/>
          <w:color w:val="000000"/>
          <w:kern w:val="0"/>
          <w:sz w:val="28"/>
          <w:szCs w:val="28"/>
        </w:rPr>
      </w:pPr>
    </w:p>
    <w:sectPr w:rsidR="000F005A">
      <w:footerReference w:type="default" r:id="rId10"/>
      <w:pgSz w:w="11906" w:h="16838"/>
      <w:pgMar w:top="1247" w:right="1797" w:bottom="1361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2F24F" w14:textId="77777777" w:rsidR="00940E6A" w:rsidRDefault="00940E6A">
      <w:r>
        <w:separator/>
      </w:r>
    </w:p>
  </w:endnote>
  <w:endnote w:type="continuationSeparator" w:id="0">
    <w:p w14:paraId="4E4A04F2" w14:textId="77777777" w:rsidR="00940E6A" w:rsidRDefault="0094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13343"/>
    </w:sdtPr>
    <w:sdtEndPr/>
    <w:sdtContent>
      <w:p w14:paraId="5C3F5C73" w14:textId="5115E586" w:rsidR="000F005A" w:rsidRDefault="006C1CD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FEC" w:rsidRPr="001C0FEC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486C1366" w14:textId="77777777" w:rsidR="000F005A" w:rsidRDefault="000F00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86A3A" w14:textId="77777777" w:rsidR="00940E6A" w:rsidRDefault="00940E6A">
      <w:r>
        <w:separator/>
      </w:r>
    </w:p>
  </w:footnote>
  <w:footnote w:type="continuationSeparator" w:id="0">
    <w:p w14:paraId="402F23B3" w14:textId="77777777" w:rsidR="00940E6A" w:rsidRDefault="00940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A"/>
    <w:multiLevelType w:val="multilevel"/>
    <w:tmpl w:val="0000001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olor w:val="auto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 w15:restartNumberingAfterBreak="0">
    <w:nsid w:val="657D3FBC"/>
    <w:multiLevelType w:val="multilevel"/>
    <w:tmpl w:val="657D3FBC"/>
    <w:lvl w:ilvl="0">
      <w:start w:val="1"/>
      <w:numFmt w:val="upperLetter"/>
      <w:pStyle w:val="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CEA2025"/>
    <w:multiLevelType w:val="multilevel"/>
    <w:tmpl w:val="6CEA2025"/>
    <w:lvl w:ilvl="0">
      <w:start w:val="1"/>
      <w:numFmt w:val="none"/>
      <w:pStyle w:val="a0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1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pStyle w:val="a2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3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72A27"/>
    <w:rsid w:val="00001760"/>
    <w:rsid w:val="00004412"/>
    <w:rsid w:val="0002504A"/>
    <w:rsid w:val="000277AA"/>
    <w:rsid w:val="00040843"/>
    <w:rsid w:val="00043C72"/>
    <w:rsid w:val="00043FEE"/>
    <w:rsid w:val="00063AB5"/>
    <w:rsid w:val="000648AE"/>
    <w:rsid w:val="000648C9"/>
    <w:rsid w:val="00066C69"/>
    <w:rsid w:val="00066CD2"/>
    <w:rsid w:val="00066E49"/>
    <w:rsid w:val="00067851"/>
    <w:rsid w:val="00070101"/>
    <w:rsid w:val="000702F1"/>
    <w:rsid w:val="00090589"/>
    <w:rsid w:val="00092D05"/>
    <w:rsid w:val="00094DFA"/>
    <w:rsid w:val="000B1A11"/>
    <w:rsid w:val="000B6CFD"/>
    <w:rsid w:val="000C3342"/>
    <w:rsid w:val="000D6646"/>
    <w:rsid w:val="000D7394"/>
    <w:rsid w:val="000D73F1"/>
    <w:rsid w:val="000E0B68"/>
    <w:rsid w:val="000E3A01"/>
    <w:rsid w:val="000E7635"/>
    <w:rsid w:val="000E77CF"/>
    <w:rsid w:val="000E7CCF"/>
    <w:rsid w:val="000F005A"/>
    <w:rsid w:val="000F1DE5"/>
    <w:rsid w:val="00112E6C"/>
    <w:rsid w:val="00121D38"/>
    <w:rsid w:val="00136067"/>
    <w:rsid w:val="001400D5"/>
    <w:rsid w:val="00150C8D"/>
    <w:rsid w:val="0016103F"/>
    <w:rsid w:val="00163E8C"/>
    <w:rsid w:val="00167F84"/>
    <w:rsid w:val="00172A27"/>
    <w:rsid w:val="00172F34"/>
    <w:rsid w:val="00182E81"/>
    <w:rsid w:val="001B00EF"/>
    <w:rsid w:val="001C0FEC"/>
    <w:rsid w:val="001C18D6"/>
    <w:rsid w:val="001C2C3B"/>
    <w:rsid w:val="001C49EA"/>
    <w:rsid w:val="001C5952"/>
    <w:rsid w:val="001D0092"/>
    <w:rsid w:val="001D4DB3"/>
    <w:rsid w:val="001F3DBE"/>
    <w:rsid w:val="001F6D07"/>
    <w:rsid w:val="00203C39"/>
    <w:rsid w:val="002079DE"/>
    <w:rsid w:val="00212DBD"/>
    <w:rsid w:val="002130DE"/>
    <w:rsid w:val="00235BA9"/>
    <w:rsid w:val="00244928"/>
    <w:rsid w:val="00246321"/>
    <w:rsid w:val="00246A53"/>
    <w:rsid w:val="00256D7C"/>
    <w:rsid w:val="00262BEF"/>
    <w:rsid w:val="002656E8"/>
    <w:rsid w:val="0027155D"/>
    <w:rsid w:val="00290F51"/>
    <w:rsid w:val="00294F2F"/>
    <w:rsid w:val="0029552F"/>
    <w:rsid w:val="002976F0"/>
    <w:rsid w:val="002A57C9"/>
    <w:rsid w:val="002B7B67"/>
    <w:rsid w:val="002C28B0"/>
    <w:rsid w:val="002C3386"/>
    <w:rsid w:val="002C6A76"/>
    <w:rsid w:val="002D121D"/>
    <w:rsid w:val="002D3E62"/>
    <w:rsid w:val="002D46B9"/>
    <w:rsid w:val="002D6714"/>
    <w:rsid w:val="002E1E83"/>
    <w:rsid w:val="002E7912"/>
    <w:rsid w:val="00301E1E"/>
    <w:rsid w:val="00303D8A"/>
    <w:rsid w:val="003040ED"/>
    <w:rsid w:val="00315D1D"/>
    <w:rsid w:val="0031601B"/>
    <w:rsid w:val="003212EF"/>
    <w:rsid w:val="00324363"/>
    <w:rsid w:val="00325596"/>
    <w:rsid w:val="003268F3"/>
    <w:rsid w:val="00340589"/>
    <w:rsid w:val="00347BF5"/>
    <w:rsid w:val="00347E95"/>
    <w:rsid w:val="00350CB4"/>
    <w:rsid w:val="00354429"/>
    <w:rsid w:val="003661A4"/>
    <w:rsid w:val="0037015F"/>
    <w:rsid w:val="003839A3"/>
    <w:rsid w:val="00387515"/>
    <w:rsid w:val="00387E94"/>
    <w:rsid w:val="00393491"/>
    <w:rsid w:val="00395F2A"/>
    <w:rsid w:val="00397CC3"/>
    <w:rsid w:val="003A0FF5"/>
    <w:rsid w:val="003A19C7"/>
    <w:rsid w:val="003A4242"/>
    <w:rsid w:val="003B02A4"/>
    <w:rsid w:val="003B18D8"/>
    <w:rsid w:val="003B1A53"/>
    <w:rsid w:val="003B40B3"/>
    <w:rsid w:val="003B5296"/>
    <w:rsid w:val="003C2B76"/>
    <w:rsid w:val="003C7906"/>
    <w:rsid w:val="003E111B"/>
    <w:rsid w:val="003E2EAC"/>
    <w:rsid w:val="004022D9"/>
    <w:rsid w:val="00407EE4"/>
    <w:rsid w:val="00412B6D"/>
    <w:rsid w:val="00420911"/>
    <w:rsid w:val="004226D2"/>
    <w:rsid w:val="00422EBE"/>
    <w:rsid w:val="00431213"/>
    <w:rsid w:val="0043327E"/>
    <w:rsid w:val="00452C1B"/>
    <w:rsid w:val="0045396B"/>
    <w:rsid w:val="0045429B"/>
    <w:rsid w:val="0045606B"/>
    <w:rsid w:val="004566E3"/>
    <w:rsid w:val="00464D6F"/>
    <w:rsid w:val="004712D4"/>
    <w:rsid w:val="00472852"/>
    <w:rsid w:val="0047291B"/>
    <w:rsid w:val="0047295D"/>
    <w:rsid w:val="004738CC"/>
    <w:rsid w:val="00477BEF"/>
    <w:rsid w:val="00487164"/>
    <w:rsid w:val="004B13F6"/>
    <w:rsid w:val="004B2FC2"/>
    <w:rsid w:val="004B5CDC"/>
    <w:rsid w:val="004C5ED2"/>
    <w:rsid w:val="004E1BBE"/>
    <w:rsid w:val="004E1C6C"/>
    <w:rsid w:val="004E72D0"/>
    <w:rsid w:val="004F09FC"/>
    <w:rsid w:val="004F38D3"/>
    <w:rsid w:val="004F5544"/>
    <w:rsid w:val="00515557"/>
    <w:rsid w:val="00524B23"/>
    <w:rsid w:val="0052548A"/>
    <w:rsid w:val="00525FFB"/>
    <w:rsid w:val="00534952"/>
    <w:rsid w:val="005445A9"/>
    <w:rsid w:val="00544CCF"/>
    <w:rsid w:val="00560DE4"/>
    <w:rsid w:val="00562A22"/>
    <w:rsid w:val="00562EC2"/>
    <w:rsid w:val="00567B11"/>
    <w:rsid w:val="00582849"/>
    <w:rsid w:val="00584749"/>
    <w:rsid w:val="005933FE"/>
    <w:rsid w:val="005A4B39"/>
    <w:rsid w:val="005B23E6"/>
    <w:rsid w:val="005C6C72"/>
    <w:rsid w:val="005D398B"/>
    <w:rsid w:val="005E2E4B"/>
    <w:rsid w:val="005F22C7"/>
    <w:rsid w:val="006114C8"/>
    <w:rsid w:val="00616B9F"/>
    <w:rsid w:val="00620123"/>
    <w:rsid w:val="00624E51"/>
    <w:rsid w:val="00625570"/>
    <w:rsid w:val="00631A16"/>
    <w:rsid w:val="00634C48"/>
    <w:rsid w:val="00635C31"/>
    <w:rsid w:val="006370D6"/>
    <w:rsid w:val="006530BA"/>
    <w:rsid w:val="006538AC"/>
    <w:rsid w:val="00667EC1"/>
    <w:rsid w:val="00676507"/>
    <w:rsid w:val="006B4B6F"/>
    <w:rsid w:val="006C1CD8"/>
    <w:rsid w:val="006C49A2"/>
    <w:rsid w:val="006D09EE"/>
    <w:rsid w:val="006E5A2A"/>
    <w:rsid w:val="006F0C0D"/>
    <w:rsid w:val="006F3741"/>
    <w:rsid w:val="00700EA8"/>
    <w:rsid w:val="007131DE"/>
    <w:rsid w:val="0071344B"/>
    <w:rsid w:val="00716AEC"/>
    <w:rsid w:val="00733C25"/>
    <w:rsid w:val="0074129E"/>
    <w:rsid w:val="0075043D"/>
    <w:rsid w:val="00756905"/>
    <w:rsid w:val="0076576E"/>
    <w:rsid w:val="007777C0"/>
    <w:rsid w:val="00782553"/>
    <w:rsid w:val="0078306B"/>
    <w:rsid w:val="00793BD5"/>
    <w:rsid w:val="007B05B6"/>
    <w:rsid w:val="007D0DD0"/>
    <w:rsid w:val="007D3D75"/>
    <w:rsid w:val="007D45C4"/>
    <w:rsid w:val="007D4893"/>
    <w:rsid w:val="007E6DF4"/>
    <w:rsid w:val="007E6EEA"/>
    <w:rsid w:val="007F51B2"/>
    <w:rsid w:val="00804EE8"/>
    <w:rsid w:val="008234CC"/>
    <w:rsid w:val="0082405C"/>
    <w:rsid w:val="0083678E"/>
    <w:rsid w:val="00844490"/>
    <w:rsid w:val="00845734"/>
    <w:rsid w:val="00855EB0"/>
    <w:rsid w:val="00855FAB"/>
    <w:rsid w:val="008744DE"/>
    <w:rsid w:val="00877719"/>
    <w:rsid w:val="00882CEE"/>
    <w:rsid w:val="008A012A"/>
    <w:rsid w:val="008A0A39"/>
    <w:rsid w:val="008A4A6E"/>
    <w:rsid w:val="008B22D8"/>
    <w:rsid w:val="008C2373"/>
    <w:rsid w:val="008C36BE"/>
    <w:rsid w:val="008C5F82"/>
    <w:rsid w:val="008D1602"/>
    <w:rsid w:val="008D3566"/>
    <w:rsid w:val="008D44A5"/>
    <w:rsid w:val="008E03E8"/>
    <w:rsid w:val="008E5F50"/>
    <w:rsid w:val="008F4117"/>
    <w:rsid w:val="00902B35"/>
    <w:rsid w:val="00910F71"/>
    <w:rsid w:val="0091167F"/>
    <w:rsid w:val="00911A2E"/>
    <w:rsid w:val="00916E11"/>
    <w:rsid w:val="0092277F"/>
    <w:rsid w:val="009268DD"/>
    <w:rsid w:val="00927FA6"/>
    <w:rsid w:val="00930023"/>
    <w:rsid w:val="00931E35"/>
    <w:rsid w:val="00940E6A"/>
    <w:rsid w:val="00943AFA"/>
    <w:rsid w:val="00944DC1"/>
    <w:rsid w:val="00952301"/>
    <w:rsid w:val="0096056C"/>
    <w:rsid w:val="00965778"/>
    <w:rsid w:val="00977766"/>
    <w:rsid w:val="00991ACB"/>
    <w:rsid w:val="00995FA7"/>
    <w:rsid w:val="009A3FA5"/>
    <w:rsid w:val="009B5414"/>
    <w:rsid w:val="009C5A2D"/>
    <w:rsid w:val="009D1E5C"/>
    <w:rsid w:val="009D799C"/>
    <w:rsid w:val="009E169D"/>
    <w:rsid w:val="009E4AC6"/>
    <w:rsid w:val="009E6EA0"/>
    <w:rsid w:val="009E7173"/>
    <w:rsid w:val="009E769B"/>
    <w:rsid w:val="009F1C2E"/>
    <w:rsid w:val="009F2269"/>
    <w:rsid w:val="009F37BB"/>
    <w:rsid w:val="00A04470"/>
    <w:rsid w:val="00A04638"/>
    <w:rsid w:val="00A06402"/>
    <w:rsid w:val="00A11A57"/>
    <w:rsid w:val="00A21721"/>
    <w:rsid w:val="00A25F88"/>
    <w:rsid w:val="00A4584E"/>
    <w:rsid w:val="00A5013D"/>
    <w:rsid w:val="00A56CE5"/>
    <w:rsid w:val="00A65D92"/>
    <w:rsid w:val="00A7213F"/>
    <w:rsid w:val="00A82C53"/>
    <w:rsid w:val="00A90D02"/>
    <w:rsid w:val="00A97009"/>
    <w:rsid w:val="00AA6333"/>
    <w:rsid w:val="00AB08BA"/>
    <w:rsid w:val="00AB159B"/>
    <w:rsid w:val="00AB3745"/>
    <w:rsid w:val="00AC58E3"/>
    <w:rsid w:val="00AD3CC8"/>
    <w:rsid w:val="00AD3D5E"/>
    <w:rsid w:val="00AE6E6C"/>
    <w:rsid w:val="00AE7D5D"/>
    <w:rsid w:val="00AF7E7E"/>
    <w:rsid w:val="00B03676"/>
    <w:rsid w:val="00B108C9"/>
    <w:rsid w:val="00B30E12"/>
    <w:rsid w:val="00B52AFE"/>
    <w:rsid w:val="00B564E2"/>
    <w:rsid w:val="00B565BD"/>
    <w:rsid w:val="00B57F2E"/>
    <w:rsid w:val="00B67213"/>
    <w:rsid w:val="00B73F81"/>
    <w:rsid w:val="00B77C54"/>
    <w:rsid w:val="00B84067"/>
    <w:rsid w:val="00BA085C"/>
    <w:rsid w:val="00BA1015"/>
    <w:rsid w:val="00BA1823"/>
    <w:rsid w:val="00BA6C51"/>
    <w:rsid w:val="00BB1394"/>
    <w:rsid w:val="00BC4EB5"/>
    <w:rsid w:val="00BD2F73"/>
    <w:rsid w:val="00BE295E"/>
    <w:rsid w:val="00C04D64"/>
    <w:rsid w:val="00C179B5"/>
    <w:rsid w:val="00C23C77"/>
    <w:rsid w:val="00C24A68"/>
    <w:rsid w:val="00C32B60"/>
    <w:rsid w:val="00C33EC8"/>
    <w:rsid w:val="00C3452B"/>
    <w:rsid w:val="00C3767B"/>
    <w:rsid w:val="00C43F1C"/>
    <w:rsid w:val="00C47D7B"/>
    <w:rsid w:val="00C5486C"/>
    <w:rsid w:val="00C54D6A"/>
    <w:rsid w:val="00C55D5A"/>
    <w:rsid w:val="00C62F61"/>
    <w:rsid w:val="00C74886"/>
    <w:rsid w:val="00C77748"/>
    <w:rsid w:val="00C80A6F"/>
    <w:rsid w:val="00C852AB"/>
    <w:rsid w:val="00C9084B"/>
    <w:rsid w:val="00CB2B17"/>
    <w:rsid w:val="00CB3B9A"/>
    <w:rsid w:val="00CC29A1"/>
    <w:rsid w:val="00CD221B"/>
    <w:rsid w:val="00CD2988"/>
    <w:rsid w:val="00CD2A61"/>
    <w:rsid w:val="00CE0A88"/>
    <w:rsid w:val="00CE3921"/>
    <w:rsid w:val="00CE6E74"/>
    <w:rsid w:val="00CF3133"/>
    <w:rsid w:val="00CF62EC"/>
    <w:rsid w:val="00D04DA3"/>
    <w:rsid w:val="00D14A5B"/>
    <w:rsid w:val="00D16E94"/>
    <w:rsid w:val="00D36F9A"/>
    <w:rsid w:val="00D41D11"/>
    <w:rsid w:val="00D422E4"/>
    <w:rsid w:val="00D540C3"/>
    <w:rsid w:val="00D54C7D"/>
    <w:rsid w:val="00D56449"/>
    <w:rsid w:val="00D6769C"/>
    <w:rsid w:val="00D76078"/>
    <w:rsid w:val="00D8142A"/>
    <w:rsid w:val="00D830CD"/>
    <w:rsid w:val="00D93718"/>
    <w:rsid w:val="00D978DD"/>
    <w:rsid w:val="00DA0F4E"/>
    <w:rsid w:val="00DA7C48"/>
    <w:rsid w:val="00DB6832"/>
    <w:rsid w:val="00DB6AD7"/>
    <w:rsid w:val="00DC0BC3"/>
    <w:rsid w:val="00DC7EEE"/>
    <w:rsid w:val="00DD77B3"/>
    <w:rsid w:val="00DF0FDA"/>
    <w:rsid w:val="00DF3834"/>
    <w:rsid w:val="00E0156D"/>
    <w:rsid w:val="00E01B7F"/>
    <w:rsid w:val="00E06CBD"/>
    <w:rsid w:val="00E131FB"/>
    <w:rsid w:val="00E15511"/>
    <w:rsid w:val="00E27303"/>
    <w:rsid w:val="00E4723B"/>
    <w:rsid w:val="00E6551B"/>
    <w:rsid w:val="00E70798"/>
    <w:rsid w:val="00E74700"/>
    <w:rsid w:val="00E81A9B"/>
    <w:rsid w:val="00E81ADB"/>
    <w:rsid w:val="00E857B3"/>
    <w:rsid w:val="00E92A5B"/>
    <w:rsid w:val="00EA2CC6"/>
    <w:rsid w:val="00EA717E"/>
    <w:rsid w:val="00EC054B"/>
    <w:rsid w:val="00EC558D"/>
    <w:rsid w:val="00EC5BCB"/>
    <w:rsid w:val="00EC7216"/>
    <w:rsid w:val="00ED4BB8"/>
    <w:rsid w:val="00EE3BE8"/>
    <w:rsid w:val="00F01E86"/>
    <w:rsid w:val="00F02064"/>
    <w:rsid w:val="00F07343"/>
    <w:rsid w:val="00F214F8"/>
    <w:rsid w:val="00F2243B"/>
    <w:rsid w:val="00F402F3"/>
    <w:rsid w:val="00F41136"/>
    <w:rsid w:val="00F4635B"/>
    <w:rsid w:val="00F57445"/>
    <w:rsid w:val="00F67CE0"/>
    <w:rsid w:val="00F723AE"/>
    <w:rsid w:val="00F73B16"/>
    <w:rsid w:val="00F759C1"/>
    <w:rsid w:val="00F76B88"/>
    <w:rsid w:val="00F82177"/>
    <w:rsid w:val="00F82878"/>
    <w:rsid w:val="00F94025"/>
    <w:rsid w:val="00F9460E"/>
    <w:rsid w:val="00FA1DFA"/>
    <w:rsid w:val="00FA312B"/>
    <w:rsid w:val="00FA3E79"/>
    <w:rsid w:val="00FA6264"/>
    <w:rsid w:val="00FA6F60"/>
    <w:rsid w:val="00FB1CFB"/>
    <w:rsid w:val="00FB2205"/>
    <w:rsid w:val="00FB5E13"/>
    <w:rsid w:val="00FC10FA"/>
    <w:rsid w:val="00FC3F3D"/>
    <w:rsid w:val="00FD349C"/>
    <w:rsid w:val="00FD46AD"/>
    <w:rsid w:val="00FE411E"/>
    <w:rsid w:val="00FE5327"/>
    <w:rsid w:val="00FF0895"/>
    <w:rsid w:val="00FF3ECF"/>
    <w:rsid w:val="00FF7F16"/>
    <w:rsid w:val="03657A39"/>
    <w:rsid w:val="1E3C54A8"/>
    <w:rsid w:val="26A359FB"/>
    <w:rsid w:val="3A7D20E1"/>
    <w:rsid w:val="6D3D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A27517"/>
  <w15:docId w15:val="{DA0AF776-8F69-4E6F-9487-0840C759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3">
    <w:name w:val="toc 3"/>
    <w:basedOn w:val="a4"/>
    <w:next w:val="a4"/>
    <w:autoRedefine/>
    <w:semiHidden/>
    <w:unhideWhenUsed/>
    <w:qFormat/>
    <w:pPr>
      <w:ind w:leftChars="400" w:left="840"/>
    </w:pPr>
  </w:style>
  <w:style w:type="paragraph" w:styleId="a8">
    <w:name w:val="footer"/>
    <w:basedOn w:val="a4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4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qFormat/>
    <w:pPr>
      <w:widowControl w:val="0"/>
      <w:tabs>
        <w:tab w:val="left" w:pos="567"/>
        <w:tab w:val="right" w:leader="dot" w:pos="8364"/>
      </w:tabs>
      <w:spacing w:before="120" w:after="120"/>
      <w:jc w:val="both"/>
    </w:pPr>
    <w:rPr>
      <w:b/>
      <w:bCs/>
      <w:caps/>
      <w:kern w:val="2"/>
      <w:szCs w:val="24"/>
    </w:rPr>
  </w:style>
  <w:style w:type="paragraph" w:styleId="2">
    <w:name w:val="toc 2"/>
    <w:basedOn w:val="a4"/>
    <w:next w:val="a4"/>
    <w:autoRedefine/>
    <w:semiHidden/>
    <w:unhideWhenUsed/>
    <w:qFormat/>
    <w:pPr>
      <w:ind w:leftChars="200" w:left="420"/>
    </w:pPr>
  </w:style>
  <w:style w:type="character" w:styleId="ac">
    <w:name w:val="Strong"/>
    <w:uiPriority w:val="22"/>
    <w:qFormat/>
    <w:rPr>
      <w:b/>
      <w:bCs/>
    </w:rPr>
  </w:style>
  <w:style w:type="character" w:styleId="ad">
    <w:name w:val="page number"/>
    <w:basedOn w:val="a5"/>
    <w:qFormat/>
  </w:style>
  <w:style w:type="character" w:styleId="ae">
    <w:name w:val="Hyperlink"/>
    <w:qFormat/>
    <w:rPr>
      <w:rFonts w:ascii="Arial" w:hAnsi="Arial" w:cs="Arial" w:hint="default"/>
      <w:color w:val="1122CC"/>
      <w:u w:val="single"/>
    </w:rPr>
  </w:style>
  <w:style w:type="character" w:customStyle="1" w:styleId="11CharChar">
    <w:name w:val="标题1.1 Char Char"/>
    <w:link w:val="11"/>
    <w:qFormat/>
    <w:rPr>
      <w:rFonts w:ascii="黑体" w:eastAsia="黑体" w:hAnsi="黑体"/>
      <w:b/>
      <w:bCs/>
      <w:kern w:val="2"/>
      <w:sz w:val="24"/>
      <w:szCs w:val="24"/>
    </w:rPr>
  </w:style>
  <w:style w:type="paragraph" w:customStyle="1" w:styleId="11">
    <w:name w:val="标题1.1"/>
    <w:basedOn w:val="a4"/>
    <w:link w:val="11CharChar"/>
    <w:qFormat/>
    <w:pPr>
      <w:spacing w:before="120"/>
      <w:outlineLvl w:val="1"/>
    </w:pPr>
    <w:rPr>
      <w:rFonts w:ascii="黑体" w:eastAsia="黑体" w:hAnsi="黑体"/>
      <w:b/>
      <w:bCs/>
      <w:sz w:val="24"/>
    </w:rPr>
  </w:style>
  <w:style w:type="character" w:customStyle="1" w:styleId="a9">
    <w:name w:val="页脚 字符"/>
    <w:link w:val="a8"/>
    <w:uiPriority w:val="99"/>
    <w:qFormat/>
    <w:rPr>
      <w:kern w:val="2"/>
      <w:sz w:val="18"/>
      <w:szCs w:val="18"/>
    </w:rPr>
  </w:style>
  <w:style w:type="character" w:customStyle="1" w:styleId="ab">
    <w:name w:val="页眉 字符"/>
    <w:link w:val="aa"/>
    <w:qFormat/>
    <w:rPr>
      <w:kern w:val="2"/>
      <w:sz w:val="18"/>
      <w:szCs w:val="18"/>
    </w:rPr>
  </w:style>
  <w:style w:type="paragraph" w:styleId="af">
    <w:name w:val="List Paragraph"/>
    <w:basedOn w:val="a4"/>
    <w:uiPriority w:val="34"/>
    <w:qFormat/>
    <w:pPr>
      <w:ind w:firstLineChars="200" w:firstLine="420"/>
    </w:pPr>
  </w:style>
  <w:style w:type="paragraph" w:customStyle="1" w:styleId="af0">
    <w:name w:val="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">
    <w:name w:val="段 Char"/>
    <w:link w:val="af0"/>
    <w:qFormat/>
    <w:rPr>
      <w:rFonts w:ascii="宋体"/>
      <w:sz w:val="21"/>
    </w:rPr>
  </w:style>
  <w:style w:type="paragraph" w:customStyle="1" w:styleId="a0">
    <w:name w:val="前言、引言标题"/>
    <w:next w:val="a4"/>
    <w:qFormat/>
    <w:pPr>
      <w:numPr>
        <w:numId w:val="1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1">
    <w:name w:val="章标题"/>
    <w:next w:val="af0"/>
    <w:qFormat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2">
    <w:name w:val="一级条标题"/>
    <w:next w:val="af0"/>
    <w:qFormat/>
    <w:pPr>
      <w:numPr>
        <w:ilvl w:val="2"/>
        <w:numId w:val="1"/>
      </w:numPr>
      <w:outlineLvl w:val="2"/>
    </w:pPr>
    <w:rPr>
      <w:rFonts w:eastAsia="黑体"/>
      <w:sz w:val="21"/>
    </w:rPr>
  </w:style>
  <w:style w:type="paragraph" w:customStyle="1" w:styleId="a3">
    <w:name w:val="二级条标题"/>
    <w:basedOn w:val="a2"/>
    <w:next w:val="af0"/>
    <w:qFormat/>
    <w:pPr>
      <w:numPr>
        <w:ilvl w:val="3"/>
      </w:numPr>
      <w:outlineLvl w:val="3"/>
    </w:pPr>
  </w:style>
  <w:style w:type="paragraph" w:customStyle="1" w:styleId="10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">
    <w:name w:val="附录标识"/>
    <w:basedOn w:val="a0"/>
    <w:qFormat/>
    <w:pPr>
      <w:numPr>
        <w:numId w:val="2"/>
      </w:numPr>
      <w:tabs>
        <w:tab w:val="left" w:pos="6405"/>
      </w:tabs>
      <w:spacing w:after="200"/>
    </w:pPr>
    <w:rPr>
      <w:sz w:val="21"/>
    </w:rPr>
  </w:style>
  <w:style w:type="paragraph" w:customStyle="1" w:styleId="af1">
    <w:name w:val="附录章标题"/>
    <w:next w:val="af0"/>
    <w:qFormat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2">
    <w:name w:val="封面标准名称"/>
    <w:qFormat/>
    <w:pPr>
      <w:framePr w:w="9638" w:h="6917" w:wrap="around" w:hAnchor="margin" w:xAlign="center" w:y="5955" w:anchorLock="1"/>
      <w:widowControl w:val="0"/>
      <w:spacing w:line="680" w:lineRule="exact"/>
      <w:jc w:val="center"/>
    </w:pPr>
    <w:rPr>
      <w:rFonts w:ascii="黑体" w:eastAsia="黑体"/>
      <w:sz w:val="52"/>
    </w:rPr>
  </w:style>
  <w:style w:type="paragraph" w:customStyle="1" w:styleId="af3">
    <w:name w:val="列项——（一级）"/>
    <w:qFormat/>
    <w:pPr>
      <w:widowControl w:val="0"/>
      <w:tabs>
        <w:tab w:val="left" w:pos="854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af4">
    <w:name w:val="列项——"/>
    <w:qFormat/>
    <w:pPr>
      <w:widowControl w:val="0"/>
      <w:tabs>
        <w:tab w:val="left" w:pos="1140"/>
      </w:tabs>
      <w:ind w:left="840" w:hanging="420"/>
      <w:jc w:val="both"/>
    </w:pPr>
    <w:rPr>
      <w:rFonts w:ascii="宋体"/>
      <w:sz w:val="21"/>
    </w:rPr>
  </w:style>
  <w:style w:type="paragraph" w:customStyle="1" w:styleId="af5">
    <w:name w:val="三级条标题"/>
    <w:basedOn w:val="a3"/>
    <w:next w:val="af0"/>
    <w:qFormat/>
    <w:pPr>
      <w:numPr>
        <w:ilvl w:val="0"/>
        <w:numId w:val="0"/>
      </w:numPr>
      <w:outlineLvl w:val="4"/>
    </w:pPr>
  </w:style>
  <w:style w:type="paragraph" w:customStyle="1" w:styleId="af6">
    <w:name w:val="四级条标题"/>
    <w:basedOn w:val="af5"/>
    <w:next w:val="af0"/>
    <w:qFormat/>
    <w:pPr>
      <w:outlineLvl w:val="5"/>
    </w:pPr>
  </w:style>
  <w:style w:type="paragraph" w:customStyle="1" w:styleId="af7">
    <w:name w:val="五级条标题"/>
    <w:basedOn w:val="af6"/>
    <w:next w:val="af0"/>
    <w:qFormat/>
    <w:pPr>
      <w:outlineLvl w:val="6"/>
    </w:pPr>
  </w:style>
  <w:style w:type="character" w:customStyle="1" w:styleId="fontstyle01">
    <w:name w:val="fontstyle01"/>
    <w:basedOn w:val="a5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fontstyle21">
    <w:name w:val="fontstyle21"/>
    <w:basedOn w:val="a5"/>
    <w:qFormat/>
    <w:rPr>
      <w:rFonts w:ascii="Times New Roman" w:hAnsi="Times New Roman" w:cs="Times New Roman" w:hint="default"/>
      <w:color w:val="1A1A1A"/>
      <w:sz w:val="22"/>
      <w:szCs w:val="22"/>
    </w:rPr>
  </w:style>
  <w:style w:type="character" w:customStyle="1" w:styleId="CharChar">
    <w:name w:val="段 Char Char"/>
    <w:qFormat/>
    <w:rPr>
      <w:rFonts w:ascii="宋体"/>
      <w:sz w:val="21"/>
      <w:lang w:val="en-US" w:eastAsia="zh-CN" w:bidi="ar-SA"/>
    </w:rPr>
  </w:style>
  <w:style w:type="paragraph" w:customStyle="1" w:styleId="7878">
    <w:name w:val="样式 二级条标题 + 段前: 7.8 磅 段后: 7.8 磅"/>
    <w:basedOn w:val="a4"/>
    <w:qFormat/>
    <w:pPr>
      <w:widowControl/>
      <w:spacing w:before="156" w:after="156"/>
      <w:ind w:left="5529"/>
      <w:outlineLvl w:val="3"/>
    </w:pPr>
    <w:rPr>
      <w:rFonts w:ascii="黑体" w:eastAsia="黑体" w:cs="宋体"/>
      <w:kern w:val="0"/>
      <w:szCs w:val="20"/>
    </w:rPr>
  </w:style>
  <w:style w:type="paragraph" w:customStyle="1" w:styleId="af8">
    <w:name w:val="附录一级条标题"/>
    <w:basedOn w:val="af1"/>
    <w:next w:val="af0"/>
    <w:qFormat/>
    <w:pPr>
      <w:autoSpaceDN w:val="0"/>
      <w:outlineLvl w:val="2"/>
    </w:pPr>
  </w:style>
  <w:style w:type="paragraph" w:customStyle="1" w:styleId="af9">
    <w:name w:val="附录二级条标题"/>
    <w:basedOn w:val="af8"/>
    <w:next w:val="af0"/>
    <w:qFormat/>
    <w:pPr>
      <w:outlineLvl w:val="3"/>
    </w:pPr>
  </w:style>
  <w:style w:type="paragraph" w:customStyle="1" w:styleId="afa">
    <w:name w:val="附录三级条标题"/>
    <w:basedOn w:val="af9"/>
    <w:next w:val="af0"/>
    <w:qFormat/>
    <w:pPr>
      <w:outlineLvl w:val="4"/>
    </w:pPr>
  </w:style>
  <w:style w:type="paragraph" w:customStyle="1" w:styleId="afb">
    <w:name w:val="附录四级条标题"/>
    <w:basedOn w:val="afa"/>
    <w:next w:val="af0"/>
    <w:qFormat/>
    <w:pPr>
      <w:outlineLvl w:val="5"/>
    </w:pPr>
  </w:style>
  <w:style w:type="paragraph" w:customStyle="1" w:styleId="afc">
    <w:name w:val="附录五级条标题"/>
    <w:basedOn w:val="afb"/>
    <w:next w:val="af0"/>
    <w:qFormat/>
    <w:pPr>
      <w:outlineLvl w:val="6"/>
    </w:pPr>
  </w:style>
  <w:style w:type="paragraph" w:styleId="afd">
    <w:name w:val="Balloon Text"/>
    <w:basedOn w:val="a4"/>
    <w:link w:val="afe"/>
    <w:semiHidden/>
    <w:unhideWhenUsed/>
    <w:rsid w:val="00A21721"/>
    <w:rPr>
      <w:sz w:val="18"/>
      <w:szCs w:val="18"/>
    </w:rPr>
  </w:style>
  <w:style w:type="character" w:customStyle="1" w:styleId="afe">
    <w:name w:val="批注框文本 字符"/>
    <w:basedOn w:val="a5"/>
    <w:link w:val="afd"/>
    <w:semiHidden/>
    <w:rsid w:val="00A2172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9%87%87%E7%94%A8%E5%9B%BD%E9%99%85%E6%A0%87%E5%87%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aike.baidu.com/item/%E5%9B%BD%E5%A4%96%E5%85%88%E8%BF%9B%E6%A0%87%E5%87%86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23CBC-D1E7-4970-8182-25659FD8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635</Words>
  <Characters>3625</Characters>
  <Application>Microsoft Office Word</Application>
  <DocSecurity>0</DocSecurity>
  <Lines>30</Lines>
  <Paragraphs>8</Paragraphs>
  <ScaleCrop>false</ScaleCrop>
  <Company>微软中国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按中电联要求，标准起草（或修改）单位应编写标准编制说明，内容包括：</dc:title>
  <dc:creator>微软用户</dc:creator>
  <cp:lastModifiedBy>wql</cp:lastModifiedBy>
  <cp:revision>87</cp:revision>
  <cp:lastPrinted>2014-09-15T08:44:00Z</cp:lastPrinted>
  <dcterms:created xsi:type="dcterms:W3CDTF">2017-08-14T03:21:00Z</dcterms:created>
  <dcterms:modified xsi:type="dcterms:W3CDTF">2026-11-02T10:17:00Z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eyJoZGlkIjoiNDkwY2MzNjM2MTE0OTgzNWZiODA1NGI0N2I0YmEyY2EiLCJ1c2VySWQiOiIxMDE2OTMxODUwIn0=</vt:lpwstr>
  </property>
  <property fmtid="{D5CDD505-2E9C-101B-9397-08002B2CF9AE}" pid="4" name="ICV">
    <vt:lpwstr>8A66FA2F023348EB88FB8AEBA8D2066C_12</vt:lpwstr>
  </property>
</Properties>
</file>